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汇添富稳健睿享一年持有期混合型证券投资基金D类份额更新基金产品资料概要(2024年06月07日更新)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汇添富稳健睿享一年持有混合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汇添富稳健睿享一年持有混合D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013540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詹杰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2023年04月06日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2011年04月18日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基金在合理控制风险的基础上，通过积极主动的管理，追求基金资产的长期稳健增值。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存托凭证及其他经中国证监会允许上市的股票）、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基金的投资组合比例为：股票资产占基金资产的比例为0-40%（其中投资于港股通标的股票的比例不超过股票资产的 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在有效控制风险的前提下，采用科学的资产配置策略和“自下而上”的精选个券策略，定量与定性分析相结合，以绝对收益为目标，力争实现基金资产的长期稳定回报。本基金的主要投资策略包括：资产配置策略、债券投资策略、股票投资策略、资产支持证券投资策略、国债期货投资策略、股指期货投资策略、股票期权投资策略、融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中债综合指数收益率×80%+沪深300指数收益率×15%+恒生指数收益率（经汇率调整）×5%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1868588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4251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100万元≤M&lt;300万元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和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（1）本基金可投资股指期货、股票期权、国债期货、资产支持证券、流通受限证券，并可参与融资交易，因此本基金将面临投资上述投资标的的风险。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（2）本基金可以投资港股通标的股票，投资风险包括：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将通过“港股通”投资于香港市场，在市场环境、市场进入、投资额度、可投资对象、税务政策、市场制度等方面都有一定的限制，而且此类限制可能会不断调整，这些限制因素的变化可能对本基金进入或退出当地市场造成障碍，从而对投资收益以及正常的申购赎回产生直接或间接的影响。</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2）香港市场交易规则有别于内地A股市场规则，此外，在港股通下参与香港股票投资还将面临包括但不限于如下特殊风险：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①香港市场实行T+0回转交易，且证券交易价格并无涨跌幅上下限的规定，因此每日涨跌幅空间相对较大，港股股价可能表现出比A股更为剧烈的股价波动；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②只有内地和香港两地均为交易日且能够满足结算安排的交易日才为港股通交易日，在内地开市香港休市的情形下，港股通不能正常交易，港股不能及时卖出，可能带来流动性风险；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③香港出现台风、黑色暴雨或者联交所规定的其他情形时，联交所将可能停市，投资者将面临在停市期间无法进行港股通交易的风险；出现境内证券交易服务公司认定的交易异常情况时，境内证券交易服务公司将可能暂且提供部分或者全部港股通服务，投资者将面临在暂停服务期间无法进行港股通交易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④投资者因港股通股票权益分派、转换、上市公司被收购等情形或者异常情况，所取得的港股通股票以外的联交所上市证券，只能通过港股通卖出，但不得买入，证券交易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⑤代理投票。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⑥汇率风险。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⑦本基金可根据投资策略需要或不同配置地市场环境的变化，选择将部分基金资产投资于港股或选择不将基金资产投资于港股，基金资产并非必然投资港股。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⑧港股通额度限制。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存托凭证，除普通股票投资可能面临的宏观经济风险、政策风险、市场风险、流动性风险外，可能还会面临以下风险：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