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汇添富添福盈和稳健养老目标一年持有期混合型基金中基金(FOF)A类份额更新基金产品资料概要(2024年06月07日更新)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汇添富添福盈和稳健养老一年持有混合（FOF）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汇添富添福盈和稳健养老一年持有混合（FOF）A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中国民生银行股份有限公司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基金中基金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蔡健林</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2007年06月01日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自2022年11月17日起本基金增设Y类基金份额。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本基金根据特定的风险偏好设定权益类资产、非权益类资产的基准配置比例，采用成熟的资产配置策略，合理控制投资组合波动风险，追求养老资产的长期稳健增值。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经中国证监会依法核准或注册的公开募集证券投资基金（以下简称“证券投资基金”，包含公开募集基础设施证券投资基金（简称公募REITs）、封闭式基金、开放式基金、上市开放式基金（LOF）和交易型开放式指数基金（ETF）、QDII基金、香港互认基金、商品基金（含商品期货基金和黄金ETF）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还可投资于股票（包含中小板、创业板、存托凭证及其他中国证监会允许上市的股票）、港股通标的股票、债券（包含国债、金融债、企业债、公司债、次级债、可转换债券（含分离交易可转债）、可交换债券、央行票据、中期票据、短期融资券（含超短期融资券）等）、资产支持证券、债券回购、银行存款、同业存单、货币市场工具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为混合型基金中基金（FOF），投资于证券投资基金的比例不低于基金资产的80%，投资于股票、股票型证券投资基金、混合型证券投资基金、商品基金（含商品期货基金和黄金ETF）等品种的比例合计原则上不高于基金资产的30%，投资于港股通标的股票的比例不超过股票资产的50%，持有现金或到期日在一年以内的政府债券的投资比例合计不低于基金资产净值的5%。本基金所指的现金不包括结算备付金、存出保证金、应收申购款等资金类别，法律法规另有规定的从其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目标风险策略，在严格控制投资组合下行风险的前提下确定大类资产配置比例，并通过全方位的定量和定性分析方法精选出优质基金组成投资组合，以期达到风险收益的优化平衡，实现基金资产的长期增值。本基金的风险等级为稳健型，力争在控制风险的前提下实现基金资产的稳健增值。</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本基金的投资策略主要包括资产配置策略、基金投资策略（包括但不限于公募REITs投资策略）、股票投资策略、债券投资策略、可转债及可交换债投资策略、资产支持证券投资策略、风险管理策略等。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中证800指数收益率×25% +中债综合指数收益率×75%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本基金为混合型基金中基金，其预期风险和收益水平高于债券型基金中基金和货币型基金中基金，低于股票型基金中基金。同时，本基金为目标风险系列基金中基金中风险收益特征相对稳健的基金。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3984324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89091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A类基金份额的特定投资群体申购费率为每笔500元；对于未通过本公司直销中心申购本基金A类基金份额的特定投资群体，申购费率参照非特定投资群体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等交易费用、基金投资其他基金产生的其他基金的销售费用（但法律法规禁止从基金财产中列支的除外）、基金的银行汇划费用、基金的开户费用、账户维护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对基金财产中持有的本基金管理人自身管理的基金部分不收取管理费、对基金财产中持有的本基金托管人自身托管的基金部分不收取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流动性风险、管理风险、信用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未达到领取条件时不可领取Y类基金份额赎回资金的风险；（2）无法继续投资Y类基金份额的风险；（3）本基金投资其他基金的风险；（4）本基金投资港股通标的股票的风险；（5）本基金投资资产支持证券的风险；（6）最短持有期限内不能赎回基金份额的风险；（7）存托凭证投资风险；（8）基金投资公募REITs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