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汇添富添福鑫添益均衡养老目标三年持有期混合型发起式基金中基金（FOF）更新基金产品资料概要(2024年06月07日更新)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汇添富添福鑫添益均衡养老目标三年持有混合发起式（FOF）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017580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2023年07月10日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基金中基金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最短持有三年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徐博</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2023年07月10日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1999年07月18日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w:t>
              <w:tab/>
              <w:t>本基金基金合同生效满三年之日（指自然日），若基金资产净值低于2亿元人民币的，基金合同自动终止，且不得通过召开基金份额持有人大会延续基金合同期限。</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w:t>
              <w:tab/>
              <w:t>本基金为偏股混合型基金中基金。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本基金根据特定的风险偏好设定权益类资产、非权益类资产的基准配置比例，采用成熟的资产配置策略，合理控制投资组合波动风险，追求养老资产的长期稳健增值。  </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经中国证监会依法核准或注册的公开募集证券投资基金（以下简称“证券投资基金”，包含公开募集基础设施证券投资基金（简称公募REITs）、QDII基金、香港互认基金和商品基金（含商品期货基金和黄金ETF）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本基金还可投资于股票（包含主板、创业板及其他中国证监会允许上市的股票、存托凭证）、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以及法律法规或中国证监会允许基金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为混合型基金中基金（FOF），投资于证券投资基金的比例不低于基金资产的80%，投资于股票、股票型证券投资基金、混合型证券投资基金、商品基金（含商品期货基金和黄金ETF）等品种的比例合计不高于基金资产的60%，投资于港股通标的股票的比例不超过股票资产的50%，持有现金或到期日在一年以内的政府债券的投资比例合计不低于基金资产净值的5%。本基金所指的现金不包括结算备付金、存出保证金、应收申购款等资金类别，法律法规另有规定的从其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目标风险策略，在严格控制投资组合下行风险的前提下确定大类资产配置比例，配置于权益类资产和非权益类资产，并通过全方位的定量和定性分析方法精选出优质基金组成投资组合，以期达到风险收益的优化平衡，力争在控制风险的前提下实现基金资产的长期稳健增值。本基金的投资策略主要包括：资产配置策略、基金投资策略（包括但不限于公募REITs投资策略）、股票投资策略、债券投资策略、可转债及可交换债投资策略、资产支持证券投资策略、风险管理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中证800指数收益率×50% +恒生指数收益率（使用估值汇率折算）×3% +中证商品期货成份指数收益率×2%+中债综合指数收益率×45%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本基金为混合型基金中基金，其预期风险和收益水平高于债券型基金中基金和货币型基金中基金，低于股票型基金中基金。同时，本基金为目标风险系列基金中基金中风险收益特征相对均衡的基金。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本基金可以投资港股通标的股票，将面临港股通机制下因投资环境、投资标的、市场制度以及交易规则等差异带来的特有风险。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对于通过本公司直销中心申购本基金的特定投资群体申购费用为每笔500元；对于未通过本公司直销中心申购本基金的特定投资群体，申购费率参照非特定投资群体适用的申购费率执行。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本基金最短持有期限不短于3年，不收取赎回费用。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0.9%</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等交易费用、基金的银行汇划费用、基金投资其他基金产生的其他基金的销售费用（但法律法规禁止从基金财产中列支的除外）、基金的开户费用、账户维护费用、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2.07%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对基金财产中持有的本基金管理人自身管理的基金部分不收取管理费、对基金财产中持有的本基金托管人自身托管的基金部分不收取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流动性风险、管理风险、信用风险、操作或技术风险、合规性风险、本基金的特有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基金投资其他基金的风险；（2）基金投资港股通标的股票的风险；（3）基金投资资产支持证券的风险；（4）最短持有期限内不能赎回基金份额的风险；（5）基金投资存托凭证的风险；（6）公募REITs投资风险；（7）作为发起式基金存在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