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1 -->
  <w:body>
    <w:p w:rsidR="007371E2" w:rsidRPr="002066FC" w:rsidP="007371E2">
      <w:pPr>
        <w:spacing w:line="360" w:lineRule="auto"/>
        <w:jc w:val="center"/>
        <w:rPr>
          <w:rFonts w:asciiTheme="minorEastAsia" w:hAnsiTheme="minorEastAsia" w:cs="方正黑体简体"/>
          <w:b/>
          <w:iCs/>
          <w:sz w:val="28"/>
          <w:szCs w:val="28"/>
        </w:rPr>
      </w:pPr>
      <w:r w:rsidRPr="002066FC">
        <w:rPr>
          <w:rFonts w:asciiTheme="minorEastAsia" w:hAnsiTheme="minorEastAsia" w:cs="方正黑体简体"/>
          <w:b/>
          <w:iCs/>
          <w:sz w:val="28"/>
          <w:szCs w:val="28"/>
        </w:rPr>
        <w:t>汇添富添福汇盈稳健养老目标一年持有期混合型基金中基金（FOF）A类份额更新基金产品资料概要(2024年06月07日更新)</w:t>
      </w:r>
    </w:p>
    <w:p w:rsidR="007371E2" w:rsidRPr="00D775F8" w:rsidP="00D775F8">
      <w:pPr>
        <w:spacing w:line="360" w:lineRule="auto"/>
        <w:jc w:val="right"/>
        <w:rPr>
          <w:rFonts w:asciiTheme="minorEastAsia" w:hAnsiTheme="minorEastAsia" w:cs="Times New Roman"/>
          <w:szCs w:val="21"/>
        </w:rPr>
      </w:pPr>
      <w:r w:rsidRPr="00D775F8">
        <w:rPr>
          <w:rFonts w:asciiTheme="minorEastAsia" w:hAnsiTheme="minorEastAsia" w:cs="方正仿宋简体"/>
          <w:iCs/>
          <w:szCs w:val="21"/>
        </w:rPr>
        <w:t xml:space="preserve">                     </w:t>
      </w:r>
      <w:r w:rsidRPr="00D775F8">
        <w:rPr>
          <w:rFonts w:asciiTheme="minorEastAsia" w:hAnsiTheme="minorEastAsia" w:cs="方正仿宋简体"/>
          <w:iCs/>
          <w:color w:val="000000" w:themeColor="text1"/>
          <w:szCs w:val="21"/>
        </w:rPr>
        <w:t xml:space="preserve">  </w:t>
      </w:r>
      <w:r w:rsidRPr="00D775F8">
        <w:rPr>
          <w:rFonts w:asciiTheme="minorEastAsia" w:hAnsiTheme="minorEastAsia" w:cs="方正仿宋简体"/>
          <w:iCs/>
          <w:szCs w:val="21"/>
        </w:rPr>
        <w:t xml:space="preserve">  </w:t>
      </w:r>
      <w:r w:rsidRPr="00D775F8">
        <w:rPr>
          <w:rFonts w:asciiTheme="minorEastAsia" w:hAnsiTheme="minorEastAsia" w:cs="方正仿宋简体" w:hint="eastAsia"/>
          <w:bCs/>
          <w:iCs/>
          <w:szCs w:val="21"/>
        </w:rPr>
        <w:t>编制日期：</w:t>
      </w:r>
      <w:r w:rsidRPr="00D775F8">
        <w:rPr>
          <w:rFonts w:asciiTheme="minorEastAsia" w:hAnsiTheme="minorEastAsia" w:cs="Times New Roman"/>
          <w:szCs w:val="21"/>
        </w:rPr>
        <w:t>2024年06月06日</w:t>
      </w:r>
    </w:p>
    <w:p w:rsidR="002066FC" w:rsidRPr="00D775F8" w:rsidP="0043717A">
      <w:pPr>
        <w:spacing w:line="360" w:lineRule="auto"/>
        <w:jc w:val="center"/>
        <w:rPr>
          <w:rFonts w:asciiTheme="minorEastAsia" w:hAnsiTheme="minorEastAsia" w:cs="方正仿宋简体" w:hint="eastAsia"/>
          <w:iCs/>
          <w:szCs w:val="21"/>
        </w:rPr>
      </w:pPr>
      <w:r w:rsidRPr="00D775F8">
        <w:rPr>
          <w:rFonts w:asciiTheme="minorEastAsia" w:hAnsiTheme="minorEastAsia" w:cs="Times New Roman" w:hint="eastAsia"/>
          <w:bCs/>
          <w:szCs w:val="21"/>
        </w:rPr>
        <w:t>送出日</w:t>
      </w:r>
      <w:bookmarkStart w:id="0" w:name="_GoBack"/>
      <w:r w:rsidRPr="00D775F8">
        <w:rPr>
          <w:rFonts w:asciiTheme="minorEastAsia" w:hAnsiTheme="minorEastAsia" w:cs="Times New Roman" w:hint="eastAsia"/>
          <w:bCs/>
          <w:szCs w:val="21"/>
        </w:rPr>
        <w:t>期：</w:t>
      </w:r>
      <w:r w:rsidRPr="00D775F8">
        <w:rPr>
          <w:rFonts w:asciiTheme="minorEastAsia" w:hAnsiTheme="minorEastAsia" w:cs="Times New Roman"/>
          <w:szCs w:val="21"/>
        </w:rPr>
        <w:t>2024年06月07日</w:t>
      </w:r>
      <w:bookmarkEnd w:id="0"/>
      <w:r w:rsidRPr="00D775F8">
        <w:rPr>
          <w:rFonts w:asciiTheme="minorEastAsia" w:hAnsiTheme="minorEastAsia" w:cs="方正仿宋简体"/>
          <w:iCs/>
          <w:szCs w:val="21"/>
        </w:rPr>
        <w:t xml:space="preserve"> </w:t>
      </w:r>
    </w:p>
    <w:p w:rsidR="00D775F8" w:rsidRPr="0043717A" w:rsidP="00D775F8">
      <w:pPr>
        <w:tabs>
          <w:tab w:val="left" w:pos="7770"/>
        </w:tabs>
        <w:spacing w:line="360" w:lineRule="auto"/>
        <w:jc w:val="center"/>
        <w:rPr>
          <w:rFonts w:asciiTheme="minorEastAsia" w:hAnsiTheme="minorEastAsia" w:cs="方正黑体简体"/>
          <w:bCs/>
          <w:iCs/>
          <w:szCs w:val="21"/>
        </w:rPr>
      </w:pPr>
      <w:r w:rsidRPr="0043717A">
        <w:rPr>
          <w:rFonts w:asciiTheme="minorEastAsia" w:hAnsiTheme="minorEastAsia" w:cs="方正黑体简体" w:hint="eastAsia"/>
          <w:bCs/>
          <w:iCs/>
          <w:szCs w:val="21"/>
        </w:rPr>
        <w:t>本概要提供本基金的重要信息，是招募说明书的一部分。</w:t>
      </w:r>
    </w:p>
    <w:p w:rsidR="00D775F8" w:rsidRPr="0043717A" w:rsidP="00D775F8">
      <w:pPr>
        <w:spacing w:line="360" w:lineRule="auto"/>
        <w:jc w:val="center"/>
        <w:rPr>
          <w:rFonts w:asciiTheme="minorEastAsia" w:hAnsiTheme="minorEastAsia" w:cs="方正仿宋简体"/>
          <w:iCs/>
          <w:szCs w:val="21"/>
        </w:rPr>
        <w:sectPr w:rsidSect="009107D8">
          <w:pgSz w:w="12240" w:h="15840"/>
          <w:pgMar w:top="1440" w:right="1800" w:bottom="1440" w:left="1800" w:header="720" w:footer="720" w:gutter="0"/>
          <w:cols w:space="720"/>
        </w:sectPr>
      </w:pPr>
      <w:r w:rsidRPr="0043717A">
        <w:rPr>
          <w:rFonts w:asciiTheme="minorEastAsia" w:hAnsiTheme="minorEastAsia" w:cs="方正黑体简体" w:hint="eastAsia"/>
          <w:bCs/>
          <w:iCs/>
          <w:szCs w:val="21"/>
        </w:rPr>
        <w:t>作出</w:t>
      </w:r>
      <w:r w:rsidRPr="0043717A">
        <w:rPr>
          <w:rFonts w:asciiTheme="minorEastAsia" w:hAnsiTheme="minorEastAsia" w:cs="方正黑体简体" w:hint="eastAsia"/>
          <w:bCs/>
          <w:iCs/>
          <w:szCs w:val="21"/>
        </w:rPr>
        <w:t>投资决定前，请阅读完整的招募说明书等销售文件。</w:t>
      </w:r>
    </w:p>
    <w:p w:rsidR="00834E25" w:rsidP="00213261">
      <w:pPr>
        <w:pStyle w:val="ListParagraph"/>
        <w:numPr>
          <w:ilvl w:val="0"/>
          <w:numId w:val="1"/>
        </w:numPr>
        <w:spacing w:line="360" w:lineRule="auto"/>
        <w:ind w:left="447" w:hanging="447" w:hangingChars="213"/>
        <w:rPr>
          <w:rFonts w:ascii="宋体" w:eastAsia="宋体" w:hAnsi="宋体" w:cs="方正仿宋简体"/>
          <w:b/>
          <w:bCs/>
          <w:iCs/>
          <w:szCs w:val="21"/>
        </w:rPr>
      </w:pPr>
      <w:r w:rsidRPr="00213261">
        <w:rPr>
          <w:rFonts w:ascii="宋体" w:eastAsia="宋体" w:hAnsi="宋体" w:cs="方正仿宋简体" w:hint="eastAsia"/>
          <w:b/>
          <w:bCs/>
          <w:iCs/>
          <w:szCs w:val="21"/>
        </w:rPr>
        <w:t>产品概况</w:t>
      </w:r>
    </w:p>
    <w:p w:rsidR="00DF6E25" w:rsidRPr="0074720D" w:rsidP="0074720D">
      <w:pPr>
        <w:rPr>
          <w:rFonts w:ascii="宋体" w:eastAsia="宋体" w:hAnsi="宋体" w:cs="方正仿宋简体"/>
          <w:bCs/>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汇添富添福汇盈稳健养老目标一年持有混合(FOF)</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013155</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下属基金简称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汇添富添福汇盈稳健养老目标一年持有混合(FOF)A</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下属基金代码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013155</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基金管理人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汇添富基金管理股份有限公司</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基金托管人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华夏银行股份有限公司</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基金合同生效日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2021年10月15日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上市交易所</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基金类型</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基金中基金</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交易币种</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人民币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运作方式</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其他开放式</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开放频率</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最短持有一年</w:t>
            </w:r>
          </w:p>
        </w:tc>
      </w:tr>
      <w:tr>
        <w:tblPrEx>
          <w:tblW w:w="5000" w:type="pct"/>
          <w:tblCellMar>
            <w:left w:w="108" w:type="dxa"/>
            <w:right w:w="108" w:type="dxa"/>
          </w:tblCellMar>
        </w:tblPrEx>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基金经理</w:t>
            </w:r>
          </w:p>
        </w:tc>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蔡健林</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开始担任本基金基金经理的日期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2021年10月15日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证券从业日期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2010年07月01日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陈思</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开始担任本基金基金经理的日期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2022年07月15日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证券从业日期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2014年07月08日</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其他</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1、本基金为偏债混合型基金中基金。</w:t>
            </w:r>
          </w:p>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2、自2022年11月17日起本基金增设Y类基金份额。</w:t>
            </w:r>
          </w:p>
        </w:tc>
      </w:tr>
    </w:tbl>
    <w:p w:rsidR="00DF6E25" w:rsidRPr="0074720D" w:rsidP="0074720D">
      <w:pPr>
        <w:rPr>
          <w:rFonts w:ascii="宋体" w:eastAsia="宋体" w:hAnsi="宋体" w:cs="方正仿宋简体"/>
          <w:bCs/>
          <w:iCs/>
          <w:szCs w:val="21"/>
        </w:rPr>
      </w:pPr>
    </w:p>
    <w:p w:rsidR="00025EAC" w:rsidRPr="0074720D" w:rsidP="0074720D">
      <w:pPr>
        <w:rPr>
          <w:rFonts w:ascii="宋体" w:eastAsia="宋体" w:hAnsi="宋体" w:cs="方正仿宋简体"/>
          <w:iCs/>
          <w:szCs w:val="21"/>
        </w:rPr>
        <w:sectPr w:rsidSect="00FE250C">
          <w:type w:val="continuous"/>
          <w:pgSz w:w="12240" w:h="15840"/>
          <w:pgMar w:top="1440" w:right="1800" w:bottom="1440" w:left="1800" w:header="720" w:footer="720" w:gutter="0"/>
          <w:cols w:space="720"/>
        </w:sectPr>
      </w:pPr>
    </w:p>
    <w:p w:rsidR="00834E25" w:rsidRPr="00124F47" w:rsidP="00D32707">
      <w:pPr>
        <w:spacing w:line="360" w:lineRule="auto"/>
        <w:rPr>
          <w:rFonts w:ascii="宋体" w:eastAsia="宋体" w:hAnsi="宋体" w:cs="方正仿宋简体"/>
          <w:b/>
          <w:bCs/>
          <w:iCs/>
          <w:szCs w:val="21"/>
        </w:rPr>
      </w:pPr>
      <w:r w:rsidRPr="00124F47">
        <w:rPr>
          <w:rFonts w:ascii="宋体" w:eastAsia="宋体" w:hAnsi="宋体" w:cs="方正仿宋简体" w:hint="eastAsia"/>
          <w:b/>
          <w:bCs/>
          <w:iCs/>
          <w:szCs w:val="21"/>
        </w:rPr>
        <w:t>二、</w:t>
      </w:r>
      <w:r w:rsidRPr="00124F47">
        <w:rPr>
          <w:rFonts w:ascii="宋体" w:eastAsia="宋体" w:hAnsi="宋体" w:cs="方正仿宋简体"/>
          <w:b/>
          <w:bCs/>
          <w:iCs/>
          <w:szCs w:val="21"/>
        </w:rPr>
        <w:t xml:space="preserve"> </w:t>
      </w:r>
      <w:r w:rsidRPr="00124F47">
        <w:rPr>
          <w:rFonts w:ascii="宋体" w:eastAsia="宋体" w:hAnsi="宋体" w:cs="方正仿宋简体"/>
          <w:b/>
          <w:bCs/>
          <w:iCs/>
          <w:szCs w:val="21"/>
        </w:rPr>
        <w:t>基金投资与净值表现</w:t>
      </w:r>
    </w:p>
    <w:p w:rsidR="00834E25" w:rsidRPr="00124F47" w:rsidP="00D32707">
      <w:pPr>
        <w:spacing w:line="360" w:lineRule="auto"/>
        <w:rPr>
          <w:rFonts w:ascii="宋体" w:eastAsia="宋体" w:hAnsi="宋体" w:cs="方正仿宋简体"/>
          <w:b/>
          <w:bCs/>
          <w:iCs/>
          <w:szCs w:val="21"/>
        </w:rPr>
        <w:sectPr w:rsidSect="00512717">
          <w:type w:val="continuous"/>
          <w:pgSz w:w="12240" w:h="15840"/>
          <w:pgMar w:top="1440" w:right="1800" w:bottom="1440" w:left="1800" w:header="720" w:footer="720" w:gutter="0"/>
          <w:cols w:space="720"/>
        </w:sectPr>
      </w:pPr>
    </w:p>
    <w:p w:rsidR="00EB4244" w:rsidRPr="006E61A9" w:rsidP="00EB4244">
      <w:pPr>
        <w:spacing w:line="360" w:lineRule="auto"/>
        <w:rPr>
          <w:rFonts w:ascii="宋体" w:eastAsia="宋体" w:hAnsi="宋体" w:cs="方正仿宋简体"/>
          <w:b/>
          <w:bCs/>
          <w:iCs/>
          <w:szCs w:val="21"/>
        </w:rPr>
      </w:pPr>
      <w:r w:rsidRPr="00EB4244">
        <w:rPr>
          <w:rFonts w:ascii="宋体" w:eastAsia="宋体" w:hAnsi="宋体" w:cs="方正仿宋简体" w:hint="eastAsia"/>
          <w:b/>
          <w:bCs/>
          <w:iCs/>
          <w:szCs w:val="21"/>
        </w:rPr>
        <w:t>（一）</w:t>
      </w:r>
      <w:r w:rsidRPr="006E61A9">
        <w:rPr>
          <w:rFonts w:ascii="宋体" w:eastAsia="宋体" w:hAnsi="宋体" w:cs="方正仿宋简体"/>
          <w:b/>
          <w:bCs/>
          <w:iCs/>
          <w:szCs w:val="21"/>
        </w:rPr>
        <w:t>投资目标与投资策略</w:t>
      </w:r>
    </w:p>
    <w:tbl>
      <w:tblPr>
        <w:tblStyle w:val="TableNormal"/>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3"/>
        <w:gridCol w:w="6946"/>
      </w:tblGrid>
      <w:tr w:rsidTr="00EB4244">
        <w:tblPrEx>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38"/>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投资目标</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本基金根据特定的风险偏好设定权益类资产、非权益类资产的基准配置比例，采用成熟的资产配置策略，合理控制投资组合波动风险，追求养老资产的长期稳健增值。</w:t>
            </w:r>
          </w:p>
        </w:tc>
      </w:tr>
      <w:tr w:rsidTr="00EB4244">
        <w:tblPrEx>
          <w:tblW w:w="8789" w:type="dxa"/>
          <w:tblInd w:w="27" w:type="dxa"/>
          <w:tblLook w:val="0000"/>
        </w:tblPrEx>
        <w:trPr>
          <w:trHeight w:val="416"/>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投资范围</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主要投资于经中国证监会依法核准或注册的公开募集证券投资基金（以下简称“证券投资基金”，包含公开募集基础设施证券投资基金（简称公募REITs）、封闭式基金、开放式基金、上市开放式基金（LOF）和交易型开放式指数基金（ETF）、QDII基金、香港互认基金、商品基金（含商品期货基金和黄金ETF）等）。</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为更好地实现投资目标，本基金还可投资于股票（包含主板、创业板及其他中国证监会允许上市的股票、存托凭证）、港股通标的股票、债券（包含国债、金融债、企业债、公司债、地方政府债、次级债、可转换债券（含分离交易可转债）、可交换债券、央行票据、中期票据、短期融资券（含超短期融资券）等）、资产支持证券、债券回购、银行存款、同业存单、货币市场工具及法律法规或中国证监会允许基金投资的其他金融工具（但须符合中国证监会的相关规定）。</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如法律法规或监管机构以后允许基金投资其他品种，基金管理人在履行适当程序后，可以将其纳入投资范围。</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基金的投资组合比例为：本基金为混合型基金中基金（FOF），投资于证券投资基金的比例不低于基金资产的80%，投资于股票（含存托凭证）、股票型证券投资基金、混合型证券投资基金、商品基金（含商品期货基金和黄金ETF）等品种的比例合计原则上不高于基金资产的30%，投资于港股通标的股票的比例不超过股票资产的50%，本基金持有现金或到期日在一年以内的政府债券的投资比例合计不低于基金资产净值的5%。本基金所指的现金不包括结算备付金、存出保证金、应收申购款等资金类别，法律法规另有规定的从其规定。</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如法律法规或监管机构变更投资品种的投资比例限制，基金管理人在履行适当程序后，可以调整上述投资品种的投资比例。</w:t>
            </w:r>
          </w:p>
        </w:tc>
      </w:tr>
      <w:tr w:rsidTr="00EB4244">
        <w:tblPrEx>
          <w:tblW w:w="8789" w:type="dxa"/>
          <w:tblInd w:w="27" w:type="dxa"/>
          <w:tblLook w:val="0000"/>
        </w:tblPrEx>
        <w:trPr>
          <w:trHeight w:val="407"/>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主要投资策略</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作为服务个人养老投资需求的一站式配置工具，本基金定位为稳健型的目标风险基金，面向风险收益特征相对稳健的投资者。</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因此，本基金采用稳健的目标风险策略，在严格控制组合下行风险的前提下确定大类资产配置比例，并通过全方位的定量和定性分析方法精选出优质基金组成投资组合，以期达到风险收益的优化平衡，实现基金资产的长期增值。本基金的风险等级为稳健型，力争在控制风险的前提下实现基金资产的长期稳健增值。本基金投资策略包括：资产配置策略、基金投资策略（包括但不限于公募REITs投资策略）、股票投资策略、债券投资策略、可转债及可交换债投资策略、资产支持证券投资策略、风险管理策略。</w:t>
            </w:r>
          </w:p>
        </w:tc>
      </w:tr>
      <w:tr w:rsidTr="00EB4244">
        <w:tblPrEx>
          <w:tblW w:w="8789" w:type="dxa"/>
          <w:tblInd w:w="27" w:type="dxa"/>
          <w:tblLook w:val="0000"/>
        </w:tblPrEx>
        <w:trPr>
          <w:trHeight w:val="412"/>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业绩比较基准</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中证800指数收益率×25%+中债综合指数收益率×75%</w:t>
            </w:r>
          </w:p>
        </w:tc>
      </w:tr>
      <w:tr w:rsidTr="00EB4244">
        <w:tblPrEx>
          <w:tblW w:w="8789" w:type="dxa"/>
          <w:tblInd w:w="27" w:type="dxa"/>
          <w:tblLook w:val="0000"/>
        </w:tblPrEx>
        <w:trPr>
          <w:trHeight w:val="419"/>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风险收益特征</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本基金为混合型基金中基金，其预期风险和收益水平高于债券型基金中基金和货币型基金中基金，低于股票型基金中基金。同时，本基金为目标风险系列基金中基金中风险收益特征相对稳健的基金。</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本基金可以投资港股通标的股票，将面临港股通机制下因投资环境、投资标的、市场制度以及交易规则等差异带来的特有风险。</w:t>
            </w:r>
          </w:p>
        </w:tc>
      </w:tr>
    </w:tbl>
    <w:p w:rsidR="0051145B" w:rsidRPr="00EB4244" w:rsidP="00EB4244">
      <w:pPr>
        <w:rPr>
          <w:rFonts w:ascii="宋体" w:eastAsia="宋体" w:hAnsi="宋体" w:cs="方正仿宋简体"/>
          <w:iCs/>
          <w:szCs w:val="21"/>
        </w:rPr>
        <w:sectPr w:rsidSect="00F576B5">
          <w:type w:val="continuous"/>
          <w:pgSz w:w="12240" w:h="15840"/>
          <w:pgMar w:top="1440" w:right="1800" w:bottom="1440" w:left="1800" w:header="720" w:footer="720" w:gutter="0"/>
          <w:cols w:space="720"/>
        </w:sectPr>
      </w:pPr>
      <w:r w:rsidRPr="00EB4244">
        <w:rPr>
          <w:rFonts w:ascii="宋体" w:eastAsia="宋体" w:hAnsi="宋体" w:cs="方正仿宋简体"/>
          <w:iCs/>
          <w:szCs w:val="21"/>
        </w:rPr>
        <w:t>注：投资者欲了解本基金的详细情况，请仔细阅读本基金的《招募说明书》。本基金产品有风险，投资需谨慎。</w:t>
      </w:r>
    </w:p>
    <w:p w:rsidR="00D76FFC" w:rsidRPr="00D76FFC" w:rsidP="00D76FFC">
      <w:pPr>
        <w:spacing w:line="360" w:lineRule="auto"/>
        <w:rPr>
          <w:rFonts w:ascii="宋体" w:eastAsia="宋体" w:hAnsi="宋体" w:cs="方正仿宋简体"/>
          <w:b/>
          <w:bCs/>
          <w:iCs/>
          <w:szCs w:val="21"/>
        </w:rPr>
      </w:pPr>
      <w:r w:rsidRPr="00D76FFC">
        <w:rPr>
          <w:rFonts w:ascii="宋体" w:eastAsia="宋体" w:hAnsi="宋体" w:cs="方正仿宋简体" w:hint="eastAsia"/>
          <w:b/>
          <w:bCs/>
          <w:iCs/>
          <w:szCs w:val="21"/>
        </w:rPr>
        <w:t>（二）</w:t>
      </w:r>
      <w:r w:rsidRPr="00D76FFC">
        <w:rPr>
          <w:rFonts w:ascii="宋体" w:eastAsia="宋体" w:hAnsi="宋体" w:cs="方正仿宋简体"/>
          <w:b/>
          <w:bCs/>
          <w:iCs/>
          <w:szCs w:val="21"/>
        </w:rPr>
        <w:t>投资组合资产配置图表</w:t>
      </w:r>
      <w:r w:rsidRPr="00D76FFC">
        <w:rPr>
          <w:rFonts w:ascii="宋体" w:eastAsia="宋体" w:hAnsi="宋体" w:cs="方正仿宋简体"/>
          <w:b/>
          <w:bCs/>
          <w:iCs/>
          <w:szCs w:val="21"/>
        </w:rPr>
        <w:t xml:space="preserve">  </w:t>
      </w:r>
    </w:p>
    <w:p w:rsidR="00AC240E" w:rsidP="00D76FFC">
      <w:pPr>
        <w:spacing w:line="360" w:lineRule="auto"/>
        <w:rPr>
          <w:rFonts w:ascii="宋体" w:eastAsia="宋体" w:hAnsi="宋体" w:cs="宋体"/>
          <w:iCs/>
          <w:sz w:val="24"/>
          <w:szCs w:val="21"/>
        </w:rPr>
      </w:pPr>
      <w:r>
        <w:rPr>
          <w:rFonts w:ascii="宋体" w:eastAsia="宋体" w:hAnsi="宋体" w:cs="宋体"/>
          <w:iCs/>
          <w:sz w:val="24"/>
          <w:szCs w:val="21"/>
        </w:rPr>
        <w:drawing>
          <wp:inline>
            <wp:extent cx="5486400" cy="3657600"/>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xmlns:r="http://schemas.openxmlformats.org/officeDocument/2006/relationships" r:embed="rId4"/>
                    <a:stretch>
                      <a:fillRect/>
                    </a:stretch>
                  </pic:blipFill>
                  <pic:spPr>
                    <a:xfrm>
                      <a:off x="0" y="0"/>
                      <a:ext cx="5486400" cy="3657600"/>
                    </a:xfrm>
                    <a:prstGeom prst="rect">
                      <a:avLst/>
                    </a:prstGeom>
                  </pic:spPr>
                </pic:pic>
              </a:graphicData>
            </a:graphic>
          </wp:inline>
        </w:drawing>
      </w:r>
    </w:p>
    <w:p w:rsidR="002712C4" w:rsidRPr="00292ED2" w:rsidP="00D76FFC">
      <w:pPr>
        <w:spacing w:line="360" w:lineRule="auto"/>
        <w:rPr>
          <w:rFonts w:ascii="宋体" w:eastAsia="宋体" w:hAnsi="宋体" w:cs="方正仿宋简体"/>
          <w:iCs/>
          <w:szCs w:val="21"/>
        </w:rPr>
        <w:sectPr w:rsidSect="0087548F">
          <w:type w:val="continuous"/>
          <w:pgSz w:w="12240" w:h="15840"/>
          <w:pgMar w:top="1440" w:right="1800" w:bottom="1440" w:left="1800" w:header="720" w:footer="720" w:gutter="0"/>
          <w:cols w:space="720"/>
        </w:sectPr>
      </w:pPr>
    </w:p>
    <w:p w:rsidR="00A02F78" w:rsidRPr="00A02F78" w:rsidP="00A02F78">
      <w:pPr>
        <w:spacing w:line="360" w:lineRule="auto"/>
        <w:rPr>
          <w:rFonts w:ascii="宋体" w:eastAsia="宋体" w:hAnsi="宋体" w:cs="方正仿宋简体"/>
          <w:b/>
          <w:bCs/>
          <w:iCs/>
          <w:szCs w:val="21"/>
        </w:rPr>
      </w:pPr>
      <w:r w:rsidRPr="00A02F78">
        <w:rPr>
          <w:rFonts w:ascii="宋体" w:eastAsia="宋体" w:hAnsi="宋体" w:cs="方正仿宋简体" w:hint="eastAsia"/>
          <w:b/>
          <w:bCs/>
          <w:iCs/>
          <w:szCs w:val="21"/>
        </w:rPr>
        <w:t>（三）</w:t>
      </w:r>
      <w:r w:rsidRPr="00A02F78">
        <w:rPr>
          <w:rFonts w:ascii="宋体" w:eastAsia="宋体" w:hAnsi="宋体" w:cs="方正仿宋简体"/>
          <w:b/>
          <w:bCs/>
          <w:iCs/>
          <w:szCs w:val="21"/>
        </w:rPr>
        <w:t>自基金合同生效以来基金每年的净值增长率及与同期业绩比较基准的比较图</w:t>
      </w:r>
    </w:p>
    <w:p w:rsidR="00834E25" w:rsidRPr="00A02F78" w:rsidP="00A02F78">
      <w:pPr>
        <w:spacing w:line="360" w:lineRule="auto"/>
        <w:rPr>
          <w:rFonts w:ascii="宋体" w:eastAsia="宋体" w:hAnsi="宋体" w:cs="宋体"/>
          <w:iCs/>
          <w:sz w:val="24"/>
          <w:szCs w:val="21"/>
        </w:rPr>
        <w:sectPr w:rsidSect="008D2884">
          <w:type w:val="continuous"/>
          <w:pgSz w:w="12240" w:h="15840"/>
          <w:pgMar w:top="1440" w:right="1800" w:bottom="1440" w:left="1800" w:header="720" w:footer="720" w:gutter="0"/>
          <w:cols w:space="720"/>
        </w:sectPr>
      </w:pPr>
      <w:r w:rsidRPr="00A02F78">
        <w:rPr>
          <w:rFonts w:ascii="宋体" w:eastAsia="宋体" w:hAnsi="宋体" w:cs="宋体"/>
          <w:iCs/>
          <w:sz w:val="24"/>
          <w:szCs w:val="21"/>
        </w:rPr>
        <w:drawing>
          <wp:inline>
            <wp:extent cx="5486400" cy="4114800"/>
            <wp:docPr id="154276026"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7053469" name=""/>
                    <pic:cNvPicPr>
                      <a:picLocks noChangeAspect="1"/>
                    </pic:cNvPicPr>
                  </pic:nvPicPr>
                  <pic:blipFill>
                    <a:blip xmlns:r="http://schemas.openxmlformats.org/officeDocument/2006/relationships" r:embed="rId5"/>
                    <a:stretch>
                      <a:fillRect/>
                    </a:stretch>
                  </pic:blipFill>
                  <pic:spPr>
                    <a:xfrm>
                      <a:off x="0" y="0"/>
                      <a:ext cx="5486400" cy="4114800"/>
                    </a:xfrm>
                    <a:prstGeom prst="rect">
                      <a:avLst/>
                    </a:prstGeom>
                  </pic:spPr>
                </pic:pic>
              </a:graphicData>
            </a:graphic>
          </wp:inline>
        </w:drawing>
      </w:r>
    </w:p>
    <w:p w:rsidR="00834E25" w:rsidRPr="00340931" w:rsidP="00340931">
      <w:pPr>
        <w:spacing w:line="360" w:lineRule="auto"/>
        <w:rPr>
          <w:rFonts w:ascii="宋体" w:eastAsia="宋体" w:hAnsi="宋体" w:cs="方正仿宋简体"/>
          <w:b/>
          <w:bCs/>
          <w:iCs/>
          <w:szCs w:val="21"/>
        </w:rPr>
        <w:sectPr w:rsidSect="00F34BD9">
          <w:type w:val="continuous"/>
          <w:pgSz w:w="12240" w:h="15840"/>
          <w:pgMar w:top="1440" w:right="1800" w:bottom="1440" w:left="1800" w:header="720" w:footer="720" w:gutter="0"/>
          <w:cols w:space="720"/>
        </w:sectPr>
      </w:pPr>
      <w:r w:rsidRPr="00340931">
        <w:rPr>
          <w:rFonts w:ascii="宋体" w:eastAsia="宋体" w:hAnsi="宋体" w:cs="方正仿宋简体" w:hint="eastAsia"/>
          <w:b/>
          <w:bCs/>
          <w:iCs/>
          <w:szCs w:val="21"/>
        </w:rPr>
        <w:t>三、投资本基金涉及的费用</w:t>
      </w:r>
    </w:p>
    <w:p w:rsidR="00263627" w:rsidRPr="00B4654F" w:rsidP="00263627">
      <w:pPr>
        <w:spacing w:line="360" w:lineRule="auto"/>
        <w:rPr>
          <w:rFonts w:ascii="宋体" w:eastAsia="宋体" w:hAnsi="宋体"/>
          <w:b/>
        </w:rPr>
      </w:pPr>
      <w:r w:rsidRPr="00B4654F">
        <w:rPr>
          <w:rFonts w:ascii="宋体" w:eastAsia="宋体" w:hAnsi="宋体" w:hint="eastAsia"/>
          <w:b/>
        </w:rPr>
        <w:t>（一）基金销售相关费用</w:t>
      </w:r>
    </w:p>
    <w:p w:rsidR="00F66C8F" w:rsidRPr="00263627" w:rsidP="00F66C8F">
      <w:pPr>
        <w:spacing w:line="240" w:lineRule="atLeast"/>
        <w:rPr>
          <w:rFonts w:ascii="宋体" w:eastAsia="宋体" w:hAnsi="宋体"/>
        </w:rPr>
      </w:pPr>
      <w:r w:rsidRPr="00263627">
        <w:rPr>
          <w:rFonts w:ascii="宋体" w:eastAsia="宋体" w:hAnsi="宋体"/>
        </w:rPr>
        <w:t>以下费用在申购/赎回基金过程中收取：</w:t>
      </w:r>
    </w:p>
    <w:p w:rsidR="00834E25" w:rsidRPr="00263627" w:rsidP="00BC38BD">
      <w:pPr>
        <w:spacing w:line="240" w:lineRule="atLeast"/>
        <w:rPr>
          <w:rFonts w:ascii="宋体" w:eastAsia="宋体" w:hAnsi="宋体"/>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费用类型</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份额（S）或金额（M）/持有期限（N）</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费率/收费方式</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备注</w:t>
            </w:r>
          </w:p>
        </w:tc>
      </w:tr>
      <w:tr>
        <w:tblPrEx>
          <w:tblW w:w="5000" w:type="pct"/>
          <w:tblCellMar>
            <w:left w:w="108" w:type="dxa"/>
            <w:right w:w="108" w:type="dxa"/>
          </w:tblCellMar>
        </w:tblPrEx>
        <w:tc>
          <w:tcPr>
            <w:tcW w:w="20000" w:type="dxa"/>
            <w:vMerge w:val="restart"/>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 xml:space="preserve">申购费（前收费） </w:t>
            </w:r>
          </w:p>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0万元≤M&lt;100万元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1.20%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非特定投资群体</w:t>
            </w: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100万元≤M&lt;500万元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0.80%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非特定投资群体</w:t>
            </w: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M≥500万元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每笔1000元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非特定投资群体</w:t>
            </w:r>
          </w:p>
        </w:tc>
      </w:tr>
      <w:tr>
        <w:tblPrEx>
          <w:tblW w:w="5000" w:type="pct"/>
          <w:tblCellMar>
            <w:left w:w="108" w:type="dxa"/>
            <w:right w:w="108" w:type="dxa"/>
          </w:tblCellMar>
        </w:tblPrEx>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申购费</w:t>
            </w:r>
          </w:p>
        </w:tc>
        <w:tc>
          <w:tcPr>
            <w:tcW w:w="20000" w:type="dxa"/>
            <w:gridSpan w:val="3"/>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对于通过本公司直销中心申购本基金A类基金份额的特定投资群体申购费率为每笔500元；对于未通过本公司直销中心申购本基金A类基金份额的特定投资群体，申购费率参照非特定投资群体适用的A类基金份额申购费率执行。</w:t>
            </w:r>
          </w:p>
        </w:tc>
      </w:tr>
      <w:tr>
        <w:tblPrEx>
          <w:tblW w:w="5000" w:type="pct"/>
          <w:tblCellMar>
            <w:left w:w="108" w:type="dxa"/>
            <w:right w:w="108" w:type="dxa"/>
          </w:tblCellMar>
        </w:tblPrEx>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赎回费</w:t>
            </w:r>
          </w:p>
        </w:tc>
        <w:tc>
          <w:tcPr>
            <w:tcW w:w="20000" w:type="dxa"/>
            <w:gridSpan w:val="3"/>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本基金A类基金份额不收取赎回费用。</w:t>
            </w:r>
          </w:p>
        </w:tc>
      </w:tr>
    </w:tbl>
    <w:p w:rsidR="00834E25" w:rsidRPr="00263627" w:rsidP="00BC38BD">
      <w:pPr>
        <w:spacing w:line="240" w:lineRule="atLeast"/>
        <w:rPr>
          <w:rFonts w:ascii="宋体" w:eastAsia="宋体" w:hAnsi="宋体"/>
        </w:rPr>
      </w:pPr>
    </w:p>
    <w:p w:rsidR="00263627" w:rsidRPr="00263627" w:rsidP="00BC38BD">
      <w:pPr>
        <w:spacing w:line="240" w:lineRule="atLeast"/>
        <w:rPr>
          <w:rFonts w:ascii="宋体" w:eastAsia="宋体" w:hAnsi="宋体"/>
        </w:rPr>
        <w:sectPr w:rsidSect="006A06BB">
          <w:type w:val="continuous"/>
          <w:pgSz w:w="12240" w:h="15840"/>
          <w:pgMar w:top="1440" w:right="1800" w:bottom="1440" w:left="1800" w:header="720" w:footer="720" w:gutter="0"/>
          <w:cols w:space="720"/>
        </w:sectPr>
      </w:pPr>
      <w:r w:rsidRPr="00263627">
        <w:rPr>
          <w:rFonts w:ascii="宋体" w:eastAsia="宋体" w:hAnsi="宋体"/>
        </w:rPr>
        <w:t>注：本基金已成立，投资本基金不涉及认购费。</w:t>
      </w:r>
    </w:p>
    <w:p w:rsidR="004118E0" w:rsidRPr="004118E0" w:rsidP="004118E0">
      <w:pPr>
        <w:spacing w:line="360" w:lineRule="auto"/>
        <w:rPr>
          <w:rFonts w:ascii="宋体" w:eastAsia="宋体" w:hAnsi="宋体" w:cs="方正仿宋简体"/>
          <w:b/>
          <w:bCs/>
          <w:iCs/>
          <w:szCs w:val="21"/>
        </w:rPr>
      </w:pPr>
      <w:r w:rsidRPr="004118E0">
        <w:rPr>
          <w:rFonts w:ascii="宋体" w:eastAsia="宋体" w:hAnsi="宋体" w:cs="方正仿宋简体" w:hint="eastAsia"/>
          <w:b/>
          <w:bCs/>
          <w:iCs/>
          <w:szCs w:val="21"/>
        </w:rPr>
        <w:t>（二）</w:t>
      </w:r>
      <w:r w:rsidRPr="004118E0">
        <w:rPr>
          <w:rFonts w:ascii="宋体" w:eastAsia="宋体" w:hAnsi="宋体" w:cs="方正仿宋简体"/>
          <w:b/>
          <w:bCs/>
          <w:iCs/>
          <w:szCs w:val="21"/>
        </w:rPr>
        <w:t>基金运作相关费用</w:t>
      </w:r>
    </w:p>
    <w:p w:rsidR="004118E0" w:rsidP="004118E0">
      <w:pPr>
        <w:spacing w:line="360" w:lineRule="auto"/>
        <w:rPr>
          <w:rFonts w:ascii="宋体" w:eastAsia="宋体" w:hAnsi="宋体" w:cs="方正仿宋简体"/>
          <w:iCs/>
          <w:szCs w:val="21"/>
        </w:rPr>
      </w:pPr>
      <w:r w:rsidRPr="004118E0">
        <w:rPr>
          <w:rFonts w:ascii="宋体" w:eastAsia="宋体" w:hAnsi="宋体" w:cs="方正仿宋简体" w:hint="eastAsia"/>
          <w:iCs/>
          <w:szCs w:val="21"/>
        </w:rPr>
        <w:t>以下费用将从基金资产中扣除：</w:t>
      </w:r>
    </w:p>
    <w:p w:rsidR="004118E0" w:rsidRPr="004118E0" w:rsidP="004118E0">
      <w:pPr>
        <w:rPr>
          <w:rFonts w:ascii="宋体" w:eastAsia="宋体" w:hAnsi="宋体" w:cs="方正仿宋简体"/>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费用类别</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年费率或金额</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收费方式</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收取方</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管理费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0.6%</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基金管理人、销售机构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托管费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0.15%</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基金托管人</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销售服务费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审计费用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45000.00元/年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会计师事务所</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信息披露费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120000.00元/年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规定披露报刊</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指数许可使用费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指数编制公司</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其他费用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合同》生效后与基金相关的律师费、仲裁费和诉讼费、基金份额持有人大会费用、基金的证券等交易费用、基金的银行汇划费用、基金投资其他基金产生的其他基金的销售费用（但法律法规禁止从基金财产中列支的除外）、基金的开户费用、账户维护费用、因投资港股通标的股票而产生的各项合理费用，按照国家有关规定和《基金合同》约定，可以在基金财产中列支的其他费用。</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r>
    </w:tbl>
    <w:p w:rsidR="004118E0" w:rsidRPr="004118E0" w:rsidP="004118E0">
      <w:pPr>
        <w:rPr>
          <w:rFonts w:ascii="宋体" w:eastAsia="宋体" w:hAnsi="宋体" w:cs="方正仿宋简体"/>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本基金费用的计算方法和支付方式详见本基金的《招募说明书》。本基金交易证券、基金等产生的费用和税负，按实际发生额从基金资产扣除。本基金运作相关费用年金额为基金整体承担费用，非单个份额类别费用，且年金额为预估值，最终实际金额以基金定期报告披露为准。</w:t>
      </w:r>
    </w:p>
    <w:p w:rsidR="004118E0" w:rsidP="004118E0">
      <w:pPr>
        <w:spacing w:line="360" w:lineRule="auto"/>
        <w:rPr>
          <w:rFonts w:ascii="宋体" w:eastAsia="宋体" w:hAnsi="宋体" w:cs="方正仿宋简体"/>
          <w:b/>
          <w:bCs/>
          <w:iCs/>
          <w:szCs w:val="21"/>
        </w:rPr>
      </w:pPr>
      <w:r>
        <w:rPr>
          <w:rFonts w:ascii="宋体" w:eastAsia="宋体" w:hAnsi="宋体" w:cs="方正仿宋简体" w:hint="eastAsia"/>
          <w:b/>
          <w:bCs/>
          <w:iCs/>
          <w:szCs w:val="21"/>
        </w:rPr>
        <w:t>（三</w:t>
      </w:r>
      <w:r w:rsidRPr="004118E0">
        <w:rPr>
          <w:rFonts w:ascii="宋体" w:eastAsia="宋体" w:hAnsi="宋体" w:cs="方正仿宋简体" w:hint="eastAsia"/>
          <w:b/>
          <w:bCs/>
          <w:iCs/>
          <w:szCs w:val="21"/>
        </w:rPr>
        <w:t>）</w:t>
      </w:r>
      <w:r w:rsidRPr="0085212D" w:rsidR="0085212D">
        <w:rPr>
          <w:rFonts w:ascii="宋体" w:eastAsia="宋体" w:hAnsi="宋体" w:cs="方正仿宋简体" w:hint="eastAsia"/>
          <w:b/>
          <w:bCs/>
          <w:iCs/>
          <w:szCs w:val="21"/>
        </w:rPr>
        <w:t>基金运作综合费用测算</w:t>
      </w:r>
    </w:p>
    <w:p w:rsidR="00B6467B" w:rsidRPr="00B6467B" w:rsidP="00B6467B">
      <w:pPr>
        <w:rPr>
          <w:rFonts w:ascii="宋体" w:eastAsia="宋体" w:hAnsi="宋体" w:cs="方正仿宋简体"/>
          <w:bCs/>
          <w:iCs/>
          <w:szCs w:val="21"/>
        </w:rPr>
      </w:pPr>
      <w:r>
        <w:rPr>
          <w:rFonts w:ascii="宋体" w:eastAsia="宋体" w:hAnsi="宋体" w:cs="方正仿宋简体"/>
          <w:bCs/>
          <w:iCs/>
          <w:szCs w:val="21"/>
        </w:rPr>
        <w:t>若投资者申购本基金份额，在持有期间，投资者需支出的运作费率如下表：</w:t>
      </w:r>
      <w:r>
        <w:rPr>
          <w:rFonts w:ascii="宋体" w:eastAsia="宋体" w:hAnsi="宋体" w:cs="方正仿宋简体"/>
          <w:bCs/>
          <w:iCs/>
          <w:szCs w:val="21"/>
        </w:rPr>
        <w:br/>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63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B6467B" w:rsidRPr="00B6467B" w:rsidP="00B6467B">
            <w:pPr>
              <w:jc w:val="center"/>
              <w:rPr>
                <w:rFonts w:ascii="宋体" w:eastAsia="宋体" w:hAnsi="宋体" w:cs="宋体"/>
                <w:bCs/>
                <w:iCs/>
                <w:color w:val="000000"/>
                <w:sz w:val="21"/>
                <w:szCs w:val="21"/>
              </w:rPr>
            </w:pPr>
            <w:r w:rsidRPr="00B6467B">
              <w:rPr>
                <w:rFonts w:ascii="宋体" w:eastAsia="宋体" w:hAnsi="宋体" w:cs="宋体"/>
                <w:bCs/>
                <w:iCs/>
                <w:color w:val="000000"/>
                <w:sz w:val="21"/>
                <w:szCs w:val="21"/>
              </w:rPr>
              <w:t>基金运作综合费率（年化）</w:t>
            </w:r>
          </w:p>
        </w:tc>
      </w:tr>
      <w:tr>
        <w:tblPrEx>
          <w:tblW w:w="5000" w:type="pct"/>
          <w:tblCellMar>
            <w:left w:w="108" w:type="dxa"/>
            <w:right w:w="108" w:type="dxa"/>
          </w:tblCellMar>
        </w:tblPrEx>
        <w:tc>
          <w:tcPr>
            <w:tcW w:w="20000" w:type="dxa"/>
            <w:shd w:val="clear" w:color="auto" w:fill="FFFFFF"/>
            <w:vAlign w:val="center"/>
          </w:tcPr>
          <w:p w:rsidR="00B6467B" w:rsidRPr="00B6467B" w:rsidP="00B6467B">
            <w:pPr>
              <w:jc w:val="left"/>
              <w:rPr>
                <w:rFonts w:ascii="宋体" w:eastAsia="宋体" w:hAnsi="宋体" w:cs="宋体"/>
                <w:bCs/>
                <w:iCs/>
                <w:color w:val="000000"/>
                <w:sz w:val="21"/>
                <w:szCs w:val="21"/>
              </w:rPr>
            </w:pPr>
            <w:r w:rsidRPr="00B6467B">
              <w:rPr>
                <w:rFonts w:ascii="宋体" w:eastAsia="宋体" w:hAnsi="宋体" w:cs="宋体"/>
                <w:bCs/>
                <w:iCs/>
                <w:color w:val="000000"/>
                <w:sz w:val="21"/>
                <w:szCs w:val="21"/>
              </w:rPr>
              <w:t>0.84%</w:t>
            </w:r>
          </w:p>
        </w:tc>
      </w:tr>
    </w:tbl>
    <w:p w:rsidR="00B6467B" w:rsidRPr="00B6467B" w:rsidP="00B6467B">
      <w:pPr>
        <w:rPr>
          <w:rFonts w:ascii="宋体" w:eastAsia="宋体" w:hAnsi="宋体" w:cs="方正仿宋简体"/>
          <w:bCs/>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基金运作综合费率（年化）测算日期为2024年06月06日。基金管理费率、托管费率、销售服务费率（若有）为基金现行费率，其他运作费用以最近一次基金年报披露的相关数据为基准测算。因本基金对基金财产中持有的本基金管理人自身管理的基金部分不收取管理费、对基金财产中持有的本基金托管人自身托管的基金部分不收取托管费，故本基金基金运作综合费率（年化）根据管理费和托管费现行费率的测算结果可能高于实际费率。</w:t>
      </w:r>
    </w:p>
    <w:p w:rsidR="00834E25" w:rsidRPr="00C2264A" w:rsidP="00C2264A">
      <w:pPr>
        <w:spacing w:line="360" w:lineRule="auto"/>
        <w:rPr>
          <w:rFonts w:ascii="宋体" w:eastAsia="宋体" w:hAnsi="宋体" w:cs="方正仿宋简体"/>
          <w:b/>
          <w:bCs/>
          <w:iCs/>
          <w:szCs w:val="21"/>
        </w:rPr>
        <w:sectPr w:rsidSect="000666D8">
          <w:type w:val="continuous"/>
          <w:pgSz w:w="12240" w:h="15840"/>
          <w:pgMar w:top="1440" w:right="1800" w:bottom="1440" w:left="1800" w:header="720" w:footer="720" w:gutter="0"/>
          <w:cols w:space="720"/>
        </w:sectPr>
      </w:pPr>
      <w:r w:rsidRPr="00C2264A">
        <w:rPr>
          <w:rFonts w:ascii="宋体" w:eastAsia="宋体" w:hAnsi="宋体" w:cs="方正仿宋简体" w:hint="eastAsia"/>
          <w:b/>
          <w:bCs/>
          <w:iCs/>
          <w:szCs w:val="21"/>
        </w:rPr>
        <w:t>四、</w:t>
      </w:r>
      <w:r w:rsidRPr="00C2264A">
        <w:rPr>
          <w:rFonts w:ascii="宋体" w:eastAsia="宋体" w:hAnsi="宋体" w:cs="方正仿宋简体"/>
          <w:b/>
          <w:bCs/>
          <w:iCs/>
          <w:szCs w:val="21"/>
        </w:rPr>
        <w:t>风险揭示与重要提示</w:t>
      </w:r>
    </w:p>
    <w:p w:rsidR="008C558C" w:rsidRPr="008C558C" w:rsidP="008C558C">
      <w:pPr>
        <w:spacing w:line="360" w:lineRule="auto"/>
        <w:rPr>
          <w:rFonts w:ascii="宋体" w:eastAsia="宋体" w:hAnsi="宋体" w:cs="方正仿宋简体"/>
          <w:b/>
          <w:bCs/>
          <w:iCs/>
          <w:szCs w:val="21"/>
        </w:rPr>
      </w:pPr>
      <w:r w:rsidRPr="008C558C">
        <w:rPr>
          <w:rFonts w:ascii="宋体" w:eastAsia="宋体" w:hAnsi="宋体" w:cs="方正仿宋简体" w:hint="eastAsia"/>
          <w:b/>
          <w:bCs/>
          <w:iCs/>
          <w:szCs w:val="21"/>
        </w:rPr>
        <w:t>（一）</w:t>
      </w:r>
      <w:r w:rsidRPr="008C558C">
        <w:rPr>
          <w:rFonts w:ascii="宋体" w:eastAsia="宋体" w:hAnsi="宋体" w:cs="方正仿宋简体"/>
          <w:b/>
          <w:bCs/>
          <w:iCs/>
          <w:szCs w:val="21"/>
        </w:rPr>
        <w:t>风险揭示</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本基金不提供任何保证。投资者可能损失本金。投资有风险，投资者购买基金时应认真阅读本基金的《招募说明书》等销售文件。</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本基金的风险包括:市场风险、流动性风险、管理风险、信用风险、操作或技术风险、合规性风险、本基金的特有风险、本基金法律文件风险收益特征表述与销售机构基金风险评价可能不一致的风险及其他风险。其中特有风险包括：</w:t>
      </w:r>
    </w:p>
    <w:p w:rsidR="00834E25" w:rsidRPr="008C558C" w:rsidP="008C558C">
      <w:pPr>
        <w:spacing w:line="360" w:lineRule="auto"/>
        <w:ind w:firstLine="420" w:firstLineChars="200"/>
        <w:rPr>
          <w:rFonts w:ascii="宋体" w:eastAsia="宋体" w:hAnsi="宋体" w:cs="方正仿宋简体"/>
          <w:iCs/>
          <w:szCs w:val="21"/>
        </w:rPr>
        <w:sectPr w:rsidSect="00730C3D">
          <w:type w:val="continuous"/>
          <w:pgSz w:w="12240" w:h="15840"/>
          <w:pgMar w:top="1440" w:right="1800" w:bottom="1440" w:left="1800" w:header="720" w:footer="720" w:gutter="0"/>
          <w:cols w:space="720"/>
        </w:sectPr>
      </w:pPr>
      <w:r w:rsidRPr="008C558C">
        <w:rPr>
          <w:rFonts w:ascii="宋体" w:eastAsia="宋体" w:hAnsi="宋体" w:cs="方正仿宋简体"/>
          <w:iCs/>
          <w:szCs w:val="21"/>
        </w:rPr>
        <w:t>（1）未达到领取条件时不可领取Y类基金份额赎回资金的风险；（2）无法继续投资Y类基金份额的风险；（3）基金投资其他基金的风险；（4）基金投资港股通标的股票的风险；（5）基金投资资产支持证券的风险；（6）最短持有期限内不能赎回基金份额的风险；（7）基金投资存托凭证的风险；（8）基金投资公募REITs的风险。</w:t>
      </w:r>
    </w:p>
    <w:p w:rsidR="005468DA" w:rsidRPr="005468DA" w:rsidP="005468DA">
      <w:pPr>
        <w:spacing w:line="360" w:lineRule="auto"/>
        <w:rPr>
          <w:rFonts w:ascii="宋体" w:eastAsia="宋体" w:hAnsi="宋体" w:cs="方正仿宋简体"/>
          <w:b/>
          <w:bCs/>
          <w:iCs/>
          <w:szCs w:val="21"/>
        </w:rPr>
      </w:pPr>
      <w:r w:rsidRPr="005468DA">
        <w:rPr>
          <w:rFonts w:ascii="宋体" w:eastAsia="宋体" w:hAnsi="宋体" w:cs="方正仿宋简体" w:hint="eastAsia"/>
          <w:b/>
          <w:bCs/>
          <w:iCs/>
          <w:szCs w:val="21"/>
        </w:rPr>
        <w:t>（二）</w:t>
      </w:r>
      <w:r w:rsidRPr="005468DA">
        <w:rPr>
          <w:rFonts w:ascii="宋体" w:eastAsia="宋体" w:hAnsi="宋体" w:cs="方正仿宋简体"/>
          <w:b/>
          <w:bCs/>
          <w:iCs/>
          <w:szCs w:val="21"/>
        </w:rPr>
        <w:t>重要提示</w:t>
      </w:r>
    </w:p>
    <w:p w:rsidR="00727A53"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中国证监会对本基金募集的注册，并不表明其对本基金的价值和收益作出实质性判断或保证，也不表明投资于本基金没有风险。</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基金管理人依照恪尽职守、诚实信用、谨慎勤勉的原则管理和运用基金财产，但不保证基金一定盈利，也不保证最低收益。</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基金投资者自依基金合同取得基金份额，即成为基金份额持有人和基金合同的当事人。</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本基金的争议解决处理方式为仲裁。具体仲裁机构和仲裁地点详见基金合同的具体约定。</w:t>
      </w:r>
    </w:p>
    <w:p w:rsidRPr="001E2FEA" w:rsidP="00C50D7E">
      <w:pPr>
        <w:spacing w:line="360" w:lineRule="auto"/>
        <w:ind w:firstLine="420" w:firstLineChars="200"/>
        <w:jc w:val="left"/>
        <w:rPr>
          <w:rFonts w:ascii="宋体" w:eastAsia="宋体" w:hAnsi="宋体" w:cs="方正仿宋简体"/>
          <w:iCs/>
          <w:szCs w:val="21"/>
        </w:rPr>
        <w:sectPr w:rsidSect="005F782C">
          <w:type w:val="continuous"/>
          <w:pgSz w:w="12240" w:h="15840"/>
          <w:pgMar w:top="1440" w:right="1800" w:bottom="1440" w:left="1800" w:header="720" w:footer="720" w:gutter="0"/>
          <w:cols w:space="720"/>
        </w:sectPr>
      </w:pPr>
      <w:r w:rsidRPr="001E2FEA">
        <w:rPr>
          <w:rFonts w:ascii="宋体" w:eastAsia="宋体" w:hAnsi="宋体" w:cs="方正仿宋简体"/>
          <w:iCs/>
          <w:szCs w:val="21"/>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575F21" w:rsidRPr="00575F21" w:rsidP="00575F21">
      <w:pPr>
        <w:spacing w:line="360" w:lineRule="auto"/>
        <w:rPr>
          <w:rFonts w:ascii="宋体" w:eastAsia="宋体" w:hAnsi="宋体" w:cs="方正仿宋简体"/>
          <w:b/>
          <w:bCs/>
          <w:iCs/>
          <w:szCs w:val="21"/>
        </w:rPr>
      </w:pPr>
      <w:r w:rsidRPr="00575F21">
        <w:rPr>
          <w:rFonts w:ascii="宋体" w:eastAsia="宋体" w:hAnsi="宋体" w:cs="方正仿宋简体" w:hint="eastAsia"/>
          <w:b/>
          <w:bCs/>
          <w:iCs/>
          <w:szCs w:val="21"/>
        </w:rPr>
        <w:t>五、</w:t>
      </w:r>
      <w:r w:rsidRPr="00575F21">
        <w:rPr>
          <w:rFonts w:ascii="宋体" w:eastAsia="宋体" w:hAnsi="宋体" w:cs="方正仿宋简体"/>
          <w:b/>
          <w:bCs/>
          <w:iCs/>
          <w:szCs w:val="21"/>
        </w:rPr>
        <w:t>其他资料查询方式</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以下资料详见基金管理人网站：www.99fund.com、电话：400-888-9918</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1. 基金合同、托管协议、招募说明书</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2. 定期报告，包括基金季度报告、中期报告和年度报告</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3. 基金份额净值</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4. 基金销售机构及联系方式</w:t>
      </w:r>
    </w:p>
    <w:p w:rsidR="00834E25" w:rsidRPr="00575F21" w:rsidP="00575F21">
      <w:pPr>
        <w:spacing w:line="360" w:lineRule="auto"/>
        <w:ind w:firstLine="420" w:firstLineChars="200"/>
        <w:rPr>
          <w:rFonts w:ascii="宋体" w:eastAsia="宋体" w:hAnsi="宋体" w:cs="方正仿宋简体"/>
          <w:iCs/>
          <w:szCs w:val="21"/>
        </w:rPr>
        <w:sectPr w:rsidSect="0097619B">
          <w:type w:val="continuous"/>
          <w:pgSz w:w="12240" w:h="15840"/>
          <w:pgMar w:top="1440" w:right="1800" w:bottom="1440" w:left="1800" w:header="720" w:footer="720" w:gutter="0"/>
          <w:cols w:space="720"/>
        </w:sectPr>
      </w:pPr>
      <w:r w:rsidRPr="00575F21">
        <w:rPr>
          <w:rFonts w:ascii="宋体" w:eastAsia="宋体" w:hAnsi="宋体" w:cs="方正仿宋简体"/>
          <w:iCs/>
          <w:szCs w:val="21"/>
        </w:rPr>
        <w:t>5. 其他重要资料</w:t>
      </w:r>
    </w:p>
    <w:p w:rsidR="00834E25" w:rsidP="00C723AC">
      <w:pPr>
        <w:spacing w:line="360" w:lineRule="auto"/>
        <w:rPr>
          <w:rFonts w:ascii="宋体" w:eastAsia="宋体" w:hAnsi="宋体" w:cs="方正仿宋简体"/>
          <w:b/>
          <w:bCs/>
          <w:iCs/>
          <w:szCs w:val="21"/>
        </w:rPr>
      </w:pPr>
      <w:r>
        <w:rPr>
          <w:rFonts w:ascii="宋体" w:eastAsia="宋体" w:hAnsi="宋体" w:cs="方正仿宋简体" w:hint="eastAsia"/>
          <w:b/>
          <w:bCs/>
          <w:iCs/>
          <w:szCs w:val="21"/>
        </w:rPr>
        <w:t>六</w:t>
      </w:r>
      <w:r w:rsidRPr="00575F21" w:rsidR="00575F21">
        <w:rPr>
          <w:rFonts w:ascii="宋体" w:eastAsia="宋体" w:hAnsi="宋体" w:cs="方正仿宋简体" w:hint="eastAsia"/>
          <w:b/>
          <w:bCs/>
          <w:iCs/>
          <w:szCs w:val="21"/>
        </w:rPr>
        <w:t>、</w:t>
      </w:r>
      <w:r>
        <w:rPr>
          <w:rFonts w:ascii="宋体" w:eastAsia="宋体" w:hAnsi="宋体" w:cs="方正仿宋简体"/>
          <w:b/>
          <w:bCs/>
          <w:iCs/>
          <w:szCs w:val="21"/>
        </w:rPr>
        <w:t>其他情况说明</w:t>
      </w:r>
    </w:p>
    <w:p w:rsidR="00C723AC" w:rsidRPr="00C723AC" w:rsidP="00C723AC">
      <w:pPr>
        <w:spacing w:line="360" w:lineRule="auto"/>
        <w:ind w:firstLine="420" w:firstLineChars="200"/>
        <w:rPr>
          <w:rFonts w:ascii="宋体" w:eastAsia="宋体" w:hAnsi="宋体" w:cs="方正仿宋简体"/>
          <w:iCs/>
          <w:szCs w:val="21"/>
        </w:rPr>
      </w:pPr>
      <w:r w:rsidRPr="00C723AC">
        <w:rPr>
          <w:rFonts w:ascii="宋体" w:eastAsia="宋体" w:hAnsi="宋体" w:cs="方正仿宋简体"/>
          <w:iCs/>
          <w:szCs w:val="21"/>
        </w:rPr>
        <w:t>本次更新主要涉及“投资本基金涉及的费用”章节。</w:t>
      </w:r>
    </w:p>
    <w:sectPr w:rsidSect="0097619B">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简体">
    <w:altName w:val="微软雅黑"/>
    <w:panose1 w:val="00000000000000000000"/>
    <w:charset w:val="86"/>
    <w:family w:val="auto"/>
    <w:notTrueType/>
    <w:pitch w:val="default"/>
    <w:sig w:usb0="00000001" w:usb1="080E0000" w:usb2="00000010" w:usb3="00000000" w:csb0="00040000" w:csb1="00000000"/>
  </w:font>
  <w:font w:name="方正仿宋简体">
    <w:altName w:val="微软雅黑"/>
    <w:panose1 w:val="00000000000000000000"/>
    <w:charset w:val="86"/>
    <w:family w:val="auto"/>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D1C76CB"/>
    <w:multiLevelType w:val="hybridMultilevel"/>
    <w:tmpl w:val="3AA41978"/>
    <w:lvl w:ilvl="0">
      <w:start w:val="1"/>
      <w:numFmt w:val="japaneseCounting"/>
      <w:lvlText w:val="%1、"/>
      <w:lvlJc w:val="left"/>
      <w:pPr>
        <w:ind w:left="450" w:hanging="45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revisionView w:comments="1" w:formatting="1" w:inkAnnotations="1" w:insDel="1" w:markup="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9BE"/>
    <w:rsid w:val="00025EAC"/>
    <w:rsid w:val="00036BDF"/>
    <w:rsid w:val="00124F47"/>
    <w:rsid w:val="001E2FEA"/>
    <w:rsid w:val="002066FC"/>
    <w:rsid w:val="00213261"/>
    <w:rsid w:val="00233040"/>
    <w:rsid w:val="00263627"/>
    <w:rsid w:val="002712C4"/>
    <w:rsid w:val="00292ED2"/>
    <w:rsid w:val="002948F0"/>
    <w:rsid w:val="00331AA2"/>
    <w:rsid w:val="00340931"/>
    <w:rsid w:val="003E0F5A"/>
    <w:rsid w:val="004051D1"/>
    <w:rsid w:val="004118E0"/>
    <w:rsid w:val="0043717A"/>
    <w:rsid w:val="00486D7F"/>
    <w:rsid w:val="004F0A6C"/>
    <w:rsid w:val="0051145B"/>
    <w:rsid w:val="005468DA"/>
    <w:rsid w:val="00575F21"/>
    <w:rsid w:val="006E61A9"/>
    <w:rsid w:val="006F6BAE"/>
    <w:rsid w:val="00724EC9"/>
    <w:rsid w:val="00727A53"/>
    <w:rsid w:val="007371E2"/>
    <w:rsid w:val="0074720D"/>
    <w:rsid w:val="00834E25"/>
    <w:rsid w:val="00837612"/>
    <w:rsid w:val="008466B3"/>
    <w:rsid w:val="0085212D"/>
    <w:rsid w:val="008A0B11"/>
    <w:rsid w:val="008C558C"/>
    <w:rsid w:val="008C59BE"/>
    <w:rsid w:val="009E1D5A"/>
    <w:rsid w:val="00A02F78"/>
    <w:rsid w:val="00AC240E"/>
    <w:rsid w:val="00AF19F0"/>
    <w:rsid w:val="00B4654F"/>
    <w:rsid w:val="00B6467B"/>
    <w:rsid w:val="00BC38BD"/>
    <w:rsid w:val="00C2264A"/>
    <w:rsid w:val="00C50D7E"/>
    <w:rsid w:val="00C723AC"/>
    <w:rsid w:val="00D32707"/>
    <w:rsid w:val="00D76FFC"/>
    <w:rsid w:val="00D775F8"/>
    <w:rsid w:val="00DA3E8D"/>
    <w:rsid w:val="00DF6E25"/>
    <w:rsid w:val="00E01551"/>
    <w:rsid w:val="00E2656A"/>
    <w:rsid w:val="00EA2C49"/>
    <w:rsid w:val="00EB4244"/>
    <w:rsid w:val="00F66C8F"/>
  </w:rsids>
  <w:docVars>
    <w:docVar w:name="KGWebUrl" w:val="http://www.htfreportsit.com/RepTemplateManager//OfficeServer.aspx"/>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10106679-B46B-4B58-9AB5-D7054B881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261"/>
    <w:pPr>
      <w:ind w:firstLine="420" w:firstLineChars="20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image" Target="media/image2.jpeg"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Pages>
  <Words>20</Words>
  <Characters>116</Characters>
  <Application>Microsoft Office Word</Application>
  <DocSecurity>0</DocSecurity>
  <Lines>1</Lines>
  <Paragraphs>1</Paragraphs>
  <ScaleCrop>false</ScaleCrop>
  <Company/>
  <LinksUpToDate>false</LinksUpToDate>
  <CharactersWithSpaces>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演示人</dc:creator>
  <cp:lastModifiedBy>66.67</cp:lastModifiedBy>
  <cp:revision>2</cp:revision>
  <dcterms:created xsi:type="dcterms:W3CDTF">2020-08-14T05:50:00Z</dcterms:created>
  <dcterms:modified xsi:type="dcterms:W3CDTF">2020-08-14T05:50:00Z</dcterms:modified>
</cp:coreProperties>
</file>