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汇添富稳健收益混合型证券投资基金A类份额更新基金产品资料概要(2024年06月07日更新)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汇添富稳健收益混合A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009736</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平安银行股份有限公司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2020年08月05日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邵佳民</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2023年07月14日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1997年03月13日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2023年11月02日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2013年09月02日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本基金自2024年1月29日增设B类份额。</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允许上市的股票）、港股通标的股票、存托凭证、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及存托凭证投资占基金资产的比例为0-40%（其中投资于港股通标的股票的比例不超过股票资产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本基金的投资策略主要包括：资产配置策略、债券投资策略、股票投资策略、资产支持证券投资策略、国债期货投资策略、股指期货投资策略、股票期权投资策略、融资投资策略。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 300 指数收益率×15%+恒生指数收益率（经汇率调整）×5%+中债综合指数收益率×80%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670582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40594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0.80%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交易费用、银行汇划费用、基金的开户费用、账户维护费用、因投资港股通标的股票而产生的各项合理费用以及按照国家有关规定和《基金合同》约定，可以在基金财产中列支的其他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1.21%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股指期货投资风险：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（2）股票期权投资风险：本基金的投资范围包括股票期权，股票期权的风险主要包括市场风险、管理风险、流动性风险、操作风险等，这些风险可能会给基金净值带来一定的负面影响和损失。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（3）国债期货投资风险：本基金的投资范围包括国债期货，国债期货的投资可能面临市场风险、基差风险、流动性风险。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（4）参与融资交易风险：本基金可参与融资交易，融资交易的风险主要包括流动性风险、信用风险等，这些风险可能会给基金净值带来一定的负面影响和损失。</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（5）本基金面临投资港股通标的股票投资风险，同时本基金可根据投资策略需要或不同配置地市场环境的变化，选择将部分基金资产投资于港股或选择不将基金资产投资于港股，基金资产并非必然投资港股。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资产支持证券投资风险：资产支持证券的投资与基金资产密切相关，因此会受到特定原始权益人破产风险及现金流预测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按监管机构或行业协会有关规定确定公允价值，本基金的基金净值可能由于估值方法的原因偏离所持有证券的收盘价所对应的净值。另外，本基金可能由于投资流通受限证券而面临流动性风险以及流通受限期间内证券价格大幅下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8）存托凭证投资风险：本基金可投资存托凭证，除普通股票投资可能面临的宏观经济风险、政策风险、市场风险、流动性风险外，投资存托凭证可能还会面临以下风险：1）存托凭证持有人与持有基础股票的股东在法律地位享有权利等方面存在差异可能引发的风险；2）发行人采用协议控制架构的风险；3）增发基础证券可能导致的存托凭证持有人权益被摊薄的风险；4）交易机制相关风险；5）存托凭证退市风险；6）其它风险。 </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（9）本基金还可能面临启用侧袋机制的风险。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