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汇添富稳健睿享一年持有期混合型证券投资基金A类份额更新基金产品资料概要(2024年06月07日更新)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汇添富稳健睿享一年持有混合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012459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汇添富稳健睿享一年持有混合A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012459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中国邮政储蓄银行股份有限公司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宋鹏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丁巍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詹杰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2023年04月06日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2011年04月18日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基金在合理控制风险的基础上，通过积极主动的管理，追求基金资产的长期稳健增值。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存托凭证及其他经中国证监会允许上市的股票）、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基金的投资组合比例为：股票资产占基金资产的比例为0-40%（其中投资于港股通标的股票的比例不超过股票资产的 50%），本基金投资于同业存单的比例不超过基金资产的20%。每个交易日日终在扣除股指期货、国债期货和股票期权合约需缴纳的交易保证金后，基金保留的现金或到期日在一年以内的政府债券的投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在有效控制风险的前提下，采用科学的资产配置策略和“自下而上”的精选个券策略，定量与定性分析相结合，以绝对收益为目标，力争实现基金资产的长期稳定回报。本基金的主要投资策略包括：资产配置策略、债券投资策略、股票投资策略、资产支持证券投资策略、国债期货投资策略、股指期货投资策略、股票期权投资策略、融资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中债综合指数收益率×80%+沪深300指数收益率×15%+恒生指数收益率（经汇率调整）×5%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0955816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27895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通过本公司直销中心申购本基金A类基金份额的特定投资群体申购费率为每笔500元。未通过本公司直销中心申购本基金A类基金份额的特定投资群体，申购费率参照非特定投资群体适用的A类基金份额申购费率执行。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和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0.88%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（1）本基金可投资股指期货、股票期权、国债期货、资产支持证券、流通受限证券，并可参与融资交易，因此本基金将面临投资上述投资标的的风险。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（2）本基金可以投资港股通标的股票，投资风险包括：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将通过“港股通”投资于香港市场，在市场环境、市场进入、投资额度、可投资对象、税务政策、市场制度等方面都有一定的限制，而且此类限制可能会不断调整，这些限制因素的变化可能对本基金进入或退出当地市场造成障碍，从而对投资收益以及正常的申购赎回产生直接或间接的影响。</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2）香港市场交易规则有别于内地A股市场规则，此外，在港股通下参与香港股票投资还将面临包括但不限于如下特殊风险：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①香港市场实行T+0回转交易，且证券交易价格并无涨跌幅上下限的规定，因此每日涨跌幅空间相对较大，港股股价可能表现出比A股更为剧烈的股价波动；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②只有内地和香港两地均为交易日且能够满足结算安排的交易日才为港股通交易日，在内地开市香港休市的情形下，港股通不能正常交易，港股不能及时卖出，可能带来流动性风险；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③香港出现台风、黑色暴雨或者联交所规定的其他情形时，联交所将可能停市，投资者将面临在停市期间无法进行港股通交易的风险；出现境内证券交易服务公司认定的交易异常情况时，境内证券交易服务公司将可能暂且提供部分或者全部港股通服务，投资者将面临在暂停服务期间无法进行港股通交易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④投资者因港股通股票权益分派、转换、上市公司被收购等情形或者异常情况，所取得的港股通股票以外的联交所上市证券，只能通过港股通卖出，但不得买入，证券交易所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⑤代理投票。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⑥汇率风险。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⑦本基金可根据投资策略需要或不同配置地市场环境的变化，选择将部分基金资产投资于港股或选择不将基金资产投资于港股，基金资产并非必然投资港股。</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⑧港股通额度限制。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本基金可投资存托凭证，除普通股票投资可能面临的宏观经济风险、政策风险、市场风险、流动性风险外，可能还会面临以下风险：存托凭证持有人与持有基础股票的股东在法律地位享有权利等方面存在差异可能引发的风险、发行人采用协议控制架构的风险、增发基础证券可能导致的存托凭证持有人权益被摊薄的风险、交易机制相关风险、存托凭证退市风险等其他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以上所述因素可能会给本基金投资带来特殊交易风险。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