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汇添富稳健添盈一年持有期混合型证券投资基金更新基金产品资料概要(2024年06月07日更新)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汇添富稳健添盈一年持有混合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010045</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中国光大银行股份有限公司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2020年09月10日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最短持有期一年</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徐一恒</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2020年09月10日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李超</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2022年03月07日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2013年03月24日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本基金以绝对收益为目标，在严格控制风险和保持资产流动性的基础上，通过积极主动的管理，追求基金资产的长期稳定回报。</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中小板、创业板及其他经中国证监会允许上市的股票）、存托凭证、港股通标的股票、债券（包括国债、央行票据、金融债券、企业债券、公司债券、中期票据、短期融资券、超短期融资券、次级债券、政府支持债券、政府支持机构债券、地方政府债券、可交换债券、可转换债券（含分离交易可转债）及其他经中国证监会允许投资的债券）、资产支持证券、债券回购、同业存单、银行存款（包含协议存款、定期存款及其他银行存款）、货币市场工具、股指期货、股票期权、国债期货以及法律法规或中国证监会允许基金投资的其他金融工具(但须符合中国证监会相关规定)。本基金还可根据法律法规参与融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资产及存托凭证占基金资产的比例为0-40%（其中投资于港股通标的股票的比例不超过股票资产的50%），本基金投资于同业存单的比例不超过基金资产的20%。每个交易日日终在扣除股指期货、国债期货和股票期权合约需缴纳的交易保证金后，基金保留的现金或到期日在一年以内的政府债券的投资比例合计不低于基金资产净值的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在有效控制风险的前提下，采用科学的资产配置策略和“自下而上”的精选个券策略，定量与定性分析相结合，以绝对收益为目标，力争实现基金资产的长期稳健回报。具体来说，在资产配置策略层面，本基金将在严格控制投资风险的基础之上确定大类资产配置比例，力争在资产配置层面实现对系统性风险的规避；在个券层面，本基金将运用利率策略、信用策略等策略精选债券构建底仓，并运用股票精选策略挑选高质量证券，力争增厚组合收益。</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本基金的投资策略主要包括：资产配置策略、股票投资策略、债券投资策略、资产支持证券投资策略、国债期货投资策略、股指期货投资策略、股票期权投资策略和融资投资策略。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沪深300指数收益率×15%+恒生指数收益率（经汇率调整）×5%+中债综合指数收益率×80%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本基金除了投资A股以外，还可以根据法律法规规定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212484917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940499"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0.60%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通过直销中心申购本基金的特定投资群体申购费率为每笔500元。</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本基金不收取赎回费用。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0.8%</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无</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70000.00元/年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期货等交易费用、基金的银行汇划费用、基金的开户费用、账户维护费用和因投资港股通标的股票而产生的各项合理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0.96%</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本基金的风险包括:市场风险、管理风险、流动性风险、特有风险、操作或技术风险、合规性风险、本基金法律文件风险收益特征表述与销售机构基金风险评价可能不一致的风险及其他风险。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（1）本基金可投资股指期货、股票期权、国债期货、资产支持证券、流通受限证券、存托凭证，并可参与融资交易，因此本基金将面临投资上述投资标的的风险。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（2）本基金可以投资港股通标的股票，投资风险包括：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本基金将通过“港股通”投资于香港市场，在市场环境、市场进入、投资额度、可投资对象、税务政策、市场制度等方面都有一定的限制，而且此类限制可能会不断调整，这些限制因素的变化可能对本基金进入或退出当地市场造成障碍，从而对投资收益以及正常的申购赎回产生直接或间接的影响。</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2）香港市场交易规则有别于内地A股市场规则，此外，在港股通下参与香港股票投资还将面临包括但不限于如下特殊风险：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①香港市场实行T+0回转交易，且证券交易价格并无涨跌幅上下限的规定，因此每日涨跌幅空间相对较大，港股股价可能表现出比A股更为剧烈的股价波动；</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②只有内地和香港两地均为交易日且能够满足结算安排的交易日才为港股通交易日，在内地开市香港休市的情形下，港股通不能正常交易，港股不能及时卖出，可能带来流动性风险；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③香港出现台风、黑色暴雨或者联交所规定的其他情形时，联交所将可能停市，投资者将面临在停市期间无法进行港股通交易的风险；出现境内证券交易服务公司认定的交易异常情况时，境内证券交易服务公司将可能暂且提供部分或者全部港股通服务，投资者将面临在暂停服务期间无法进行港股通交易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④投资者因港股通股票权益分派、转换、上市公司被收购等情形或者异常情况，所取得的港股通股票以外的联交所上市证券，只能通过港股通卖出，但不得买入，证券交易所另有规定的除外；因港股通股票权益分派或者转换等情形取得的联交所上市股票的认购权利在联交所上市的，可以通过港股通卖出，但不得行权；因港股通股票权益分派、转换或者上市公司被收购等所取得的非联交所上市证券，可以享有相关权益，但不得通过港股通买入或卖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⑤代理投票。</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⑥汇率风险。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⑦本基金可根据投资策略需要或不同配置地市场环境的变化，选择将部分基金资产投资于港股或选择不将基金资产投资于港股，基金资产并非必然投资港股。</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以上所述因素可能会给本基金投资带来特殊交易风险。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