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汇添富稳健回报债券型证券投资基金A类份额更新基金产品资料概要(2024年06月07日更新)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汇添富稳健回报债券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018830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汇添富稳健回报债券A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018830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恒丰银行股份有限公司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2023年09月01日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吴振翔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2006年01月01日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本基金为二级债基，投资于股票、可转债与可交债的比例合并计算后不得超过基金资产的20%，在通常情况下本基金的预期风险水平高于纯债基金。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本基金在严格控制风险和保持资产流动性的基础上，通过积极主动的投资管理，追求基金资产的长期稳健增值。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国债期货、资产支持证券、债券回购、同业存单、银行存款（包含协议存款、定期存款及其他银行存款）、货币市场工具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投资于股票、可转债与可交债的比例合并计算后不得超过基金资产的20%。每个交易日日终在扣除国债期货合约需缴纳的交易保证金后，本基金保留的现金或投资于到期日在一年以内的政府债券的比例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采取目标波动风险预算技术进行资产配置，量化与基本面相结合的股票投资策略进行权益部分投资，以及采用多种策略进行固定收益部分投资。通过综合运用以上技术，本基金将优化投资过程，力争将组合整体预期波动率限定在合适范围，实现风险约束下投资组合预期收益的最大化，从而实现较好的稳健回报。从长期来看，目标波动风险预算技术在风险控制方面效果显著，能够提高风险调整后收益。本基金采取的投资策略主要包括资产配置策略、多因子量化选股策略、存托凭证的投资策略、债券投资策略、可转债及可交换债投资策略及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中债-1-3年政策性金融债财富(总值)指数*80%+中证800指数收益率*15%+金融机构人民币活期存款利率（税后）*5%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本基金属于债券型基金，其预期的风险与收益低于股票型基金、混合型基金，高于货币市场基金。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0.40%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通过本公司直销中心申购本基金A类基金份额的特定投资群体申购费用为每笔500元。未通过本公司直销中心申购本基金A类基金份额的特定投资群体仍适用上表非特定投资群体的A类基金份额的申购费率。</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账户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0.51%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及其他风险。其中特有风险包括但不限于：</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债券市场的变化会影响到基金业绩，基金净值表现因此可能受到影响。本基金为二级债基，投资于股票、可转债与可交债的比例合并计算后不得超过基金资产的20%，在通常情况下本基金的预期风险水平高于纯债基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（2）本基金可投资于境内的股票市场，股票市场的变化将会带来基金业绩的波动。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（3）本基金可投资国债期货、资产支持证券、存托凭证，因此本基金将面临投资上述投资标的的风险。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（4）本基金启用侧袋机制可能会给本基金投资带来特殊交易风险。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