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汇添富稳健回报债券型证券投资基金C类份额更新基金产品资料概要(2024年06月07日更新)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汇添富稳健回报债券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018830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汇添富稳健回报债券C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018831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恒丰银行股份有限公司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本基金为二级债基，投资于股票、可转债与可交债的比例合并计算后不得超过基金资产的20%，在通常情况下本基金的预期风险水平高于纯债基金。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本基金在严格控制风险和保持资产流动性的基础上，通过积极主动的投资管理，追求基金资产的长期稳健增值。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可转债与可交债的比例合并计算后不得超过基金资产的20%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采取目标波动风险预算技术进行资产配置，量化与基本面相结合的股票投资策略进行权益部分投资，以及采用多种策略进行固定收益部分投资。通过综合运用以上技术，本基金将优化投资过程，力争将组合整体预期波动率限定在合适范围，实现风险约束下投资组合预期收益的最大化，从而实现较好的稳健回报。从长期来看，目标波动风险预算技术在风险控制方面效果显著，能够提高风险调整后收益。本基金采取的投资策略主要包括资产配置策略、多因子量化选股策略、存托凭证的投资策略、债券投资策略、可转债及可交换债投资策略及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中债-1-3年政策性金融债财富(总值)指数*80%+中证800指数收益率*15%+金融机构人民币活期存款利率（税后）*5%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账户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及其他风险。其中特有风险包括但不限于：</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债券市场的变化会影响到基金业绩，基金净值表现因此可能受到影响。本基金为二级债基，投资于股票、可转债与可交债的比例合并计算后不得超过基金资产的20%，在通常情况下本基金的预期风险水平高于纯债基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（2）本基金可投资于境内的股票市场，股票市场的变化将会带来基金业绩的波动。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（3）本基金可投资国债期货、资产支持证券、存托凭证，因此本基金将面临投资上述投资标的的风险。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（4）本基金启用侧袋机制可能会给本基金投资带来特殊交易风险。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