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汇添富稳瑞30天滚动持有中短债债券型证券投资基金D类份额更新基金产品资料概要(2024年06月07日更新)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汇添富稳瑞30天滚动持有中短债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016140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汇添富稳瑞30天滚动持有中短债D</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017956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2022年07月26日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30天的滚动持有期限，即：每个运作期到期日前，基金份额持有人不能提出赎回申请；每个运作期到期日，基金份额持有人可提出赎回申请。如果基金份额持有人在当期运作期到期日未申请赎回或赎回被确认失败，则自该运作期到期日下一日起该基金份额进入下一个运作期。</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温开强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2022年07月26日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2012年03月01日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徐寅喆</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2008年09月01日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本基金暂不向金融机构自营账户销售。自2023年2月27日起增设汇添富稳瑞30天滚动持有中短债债券型证券投资基金D类基金份额。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在严格控制投资组合风险的前提下，力求获得超越业绩比较基准的投资回报。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投资于流动性良好的金融工具，包括债券（国债、央行票据、金融债券、企业债券、公司债券、中期票据、短期融资券、超短期融资券、次级债券、政府支持债券、政府支持机构债券、地方政府债券、可分离交易可转债的纯债部分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本基金不投资于股票资产，也不投资于可转换债券（可分离交易可转债的纯债部分除外）、可交换债券。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如法律法规或监管机构以后允许基金投资其他品种，基金管理人在履行适当程序后，可以将其纳入投资范围，并可依据届时有效的法律法规适时合理地调整投资范围。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基金的投资组合比例为：本基金投资于债券资产的比例不低于基金资产的80%，其中投资于中短期债券的比例不低于非现金基金资产的 80%，每个交易日日终在扣除国债期货合约需缴纳的交易保证金后，持有现金或到期日在一年以内的政府债券不低于基金资产净值的 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本基金所定义的中短期债券是指剩余期限或回售期限不超过 3年（含）的债券资产，主要包括国债、央行票据、金融债券、企业债券、公司债券、中期票据、短期融资券、超短期融资券、次级债券、政府支持债券、政府支持机构债券、地方政府债券、资产支持证券、可分离交易可转债的纯债部分等金融工具。</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本基金采取的投资策略主要包括类属资产配置策略、利率策略、信用策略、期限结构配置策略、个券选择策略、国债期货投资策略等。在谨慎投资的基础上，力争实现组合的稳健增值。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本基金的业绩比较基准为：中债总全价（1-3年）指数收益率×80%+一年期定期存款利率（税后）×20%。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本基金D类基金份额不收取申购费用。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本基金D类基金份额不收取赎回费用。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结算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0.40%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其中投资于中短期债券的比例不低于非现金基金资产的80%。本基金需要承担由于市场利率波动造成的利率风险以及信用债的发债主体信用恶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（2）本基金可投资国债期货、资产支持证券、流通受限证券，因此本基金将面临投资上述投资标的的风险。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由于本基金特殊运作方式的安排，投资者的单笔认购/申购存在30天的滚动持有期，因此本基金投资者将面临在运作期到期日前无法赎回的风险、错过当期运作期到期日未能赎回而进入下一运作期的风险、每份基金份额的实际运作期期限因周末、法定节假日影响或有不同的风险、集中赎回的流动性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（4）运作期期限或有变化的风险。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本基金暂不向金融机构自营账户销售，如未来本基金开放向金融机构自营账户公开销售或对销售对象的范围予以进一步限定，基金管理人将另行公告。</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