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汇添富添福盈和稳健养老目标一年持有期混合型基金中基金(FOF)Y类份额更新基金产品资料概要(2024年06月07日更新)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汇添富添福盈和稳健养老一年持有混合（FOF）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012190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汇添富添福盈和稳健养老一年持有混合（FOF）Y</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017368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中国民生银行股份有限公司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蔡健林</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2007年06月01日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自2022年11月17日起本基金增设Y类基金份额。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本基金根据特定的风险偏好设定权益类资产、非权益类资产的基准配置比例，采用成熟的资产配置策略，合理控制投资组合波动风险，追求养老资产的长期稳健增值。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经中国证监会依法核准或注册的公开募集证券投资基金（以下简称“证券投资基金”，包含公开募集基础设施证券投资基金（简称公募REITs）、封闭式基金、开放式基金、上市开放式基金（LOF）和交易型开放式指数基金（ETF）、QDII基金、香港互认基金、商品基金（含商品期货基金和黄金ETF）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还可投资于股票（包含中小板、创业板、存托凭证及其他中国证监会允许上市的股票）、港股通标的股票、债券（包含国债、金融债、企业债、公司债、次级债、可转换债券（含分离交易可转债）、可交换债券、央行票据、中期票据、短期融资券（含超短期融资券）等）、资产支持证券、债券回购、银行存款、同业存单、货币市场工具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为混合型基金中基金（FOF），投资于证券投资基金的比例不低于基金资产的80%，投资于股票、股票型证券投资基金、混合型证券投资基金、商品基金（含商品期货基金和黄金ETF）等品种的比例合计原则上不高于基金资产的30%，投资于港股通标的股票的比例不超过股票资产的50%，持有现金或到期日在一年以内的政府债券的投资比例合计不低于基金资产净值的5%。本基金所指的现金不包括结算备付金、存出保证金、应收申购款等资金类别，法律法规另有规定的从其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目标风险策略，在严格控制投资组合下行风险的前提下确定大类资产配置比例，并通过全方位的定量和定性分析方法精选出优质基金组成投资组合，以期达到风险收益的优化平衡，实现基金资产的长期增值。本基金的风险等级为稳健型，力争在控制风险的前提下实现基金资产的稳健增值。</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本基金的投资策略主要包括资产配置策略、基金投资策略（包括但不限于公募REITs投资策略）、股票投资策略、债券投资策略、可转债及可交换债投资策略、资产支持证券投资策略、风险管理策略等。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中证800指数收益率×25% +中债综合指数收益率×75%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本基金为混合型基金中基金，其预期风险和收益水平高于债券型基金中基金和货币型基金中基金，低于股票型基金中基金。同时，本基金为目标风险系列基金中基金中风险收益特征相对稳健的基金。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1984429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425727"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Y类基金份额不收取赎回费用。在满足《个人养老金投资公开募集证券投资基金业务管理暂行规定》等法律法规规定及基金合同约定的情形下可豁免最短持有限制，具体安排及费率按更新的招募说明书或相关公告执行。法律法规或监管机关另有规定的，从其规定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0.075%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等交易费用、基金投资其他基金产生的其他基金的销售费用（但法律法规禁止从基金财产中列支的除外）、基金的银行汇划费用、基金的开户费用、账户维护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流动性风险、管理风险、信用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未达到领取条件时不可领取Y类基金份额赎回资金的风险；（2）无法继续投资Y类基金份额的风险；（3）本基金投资其他基金的风险；（4）本基金投资港股通标的股票的风险；（5）本基金投资资产支持证券的风险；（6）最短持有期限内不能赎回基金份额的风险；（7）存托凭证投资风险；（8）基金投资公募REITs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