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汇添富稳瑞30天滚动持有中短债债券型证券投资基金C类份额更新基金产品资料概要(2024年06月07日更新)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汇添富稳瑞30天滚动持有中短债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016140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汇添富稳瑞30天滚动持有中短债C</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016141</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2022年07月26日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债券型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对于每份基金份额设置30天的滚动持有期限，即：每个运作期到期日前，基金份额持有人不能提出赎回申请；每个运作期到期日，基金份额持有人可提出赎回申请。如果基金份额持有人在当期运作期到期日未申请赎回或赎回被确认失败，则自该运作期到期日下一日起该基金份额进入下一个运作期。</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温开强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2022年07月26日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2012年03月01日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徐寅喆</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2023年09月13日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2008年09月01日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本基金暂不向金融机构自营账户销售</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在严格控制投资组合风险的前提下，力求获得超越业绩比较基准的投资回报。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 xml:space="preserve">本基金投资于流动性良好的金融工具，包括债券（国债、央行票据、金融债券、企业债券、公司债券、中期票据、短期融资券、超短期融资券、次级债券、政府支持债券、政府支持机构债券、地方政府债券、可分离交易可转债的纯债部分及其他经中国证监会允许投资的债券）、资产支持证券、债券回购、同业存单、银行存款（包含协议存款、定期存款及其他银行存款）、货币市场工具、国债期货，以及法律法规或中国证监会允许投资的其他金融工具（但须符合中国证监会相关规定）。 </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本基金不投资于股票资产，也不投资于可转换债券（可分离交易可转债的纯债部分除外）、可交换债券。</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如法律法规或监管机构以后允许基金投资其他品种，基金管理人在履行适当程序后，可以将其纳入投资范围，并可依据届时有效的法律法规适时合理地调整投资范围。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基金的投资组合比例为：本基金投资于债券资产的比例不低于基金资产的80%，其中投资于中短期债券的比例不低于非现金基金资产的 80%，每个交易日日终在扣除国债期货合约需缴纳的交易保证金后，持有现金或到期日在一年以内的政府债券不低于基金资产净值的 5%，本基金所指的现金不包括结算备付金、存出保证金、应收申购款等。</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如法律法规或中国证监会变更投资品种的投资比例限制，基金管理人在履行适当程序后，可以调整上述投资品种的投资比例。</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本基金所定义的中短期债券是指剩余期限或回售期限不超过 3年（含）的债券资产，主要包括国债、央行票据、金融债券、企业债券、公司债券、中期票据、短期融资券、超短期融资券、次级债券、政府支持债券、政府支持机构债券、地方政府债券、资产支持证券、可分离交易可转债的纯债部分等金融工具。</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本基金采取的投资策略主要包括类属资产配置策略、利率策略、信用策略、期限结构配置策略、个券选择策略、国债期货投资策略等。在谨慎投资的基础上，力争实现组合的稳健增值。</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本基金的业绩比较基准为：中债总全价（1-3年）指数收益率×80%+一年期定期存款利率（税后）×20%。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本基金为债券型基金，其预期风险及预期收益水平低于股票型基金、混合型基金，高于货币市场基金。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85333318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747616"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本基金C类基金份额不收取申购费用。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本基金C类基金份额不收取赎回费用。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和诉讼费、基金份额持有人大会费用、基金的证券/期货等交易结算费用、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0.48%</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本基金的风险包括:市场风险、管理风险、流动性风险、特有风险、操作或技术风险、合规性风险、本基金法律文件风险收益特征表述与销售机构基金风险评价可能不一致的风险及其他风险。其中特有风险包括：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为债券型基金，本基金对债券资产的投资比例不低于基金资产的80%，其中投资于中短期债券的比例不低于非现金基金资产的80%。本基金需要承担由于市场利率波动造成的利率风险以及信用债的发债主体信用恶化造成的信用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（2）本基金可投资国债期货、资产支持证券、流通受限证券，因此本基金将面临投资上述投资标的的风险。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由于本基金特殊运作方式的安排，投资者的单笔认购/申购存在30天的滚动持有期，因此本基金投资者将面临在运作期到期日前无法赎回的风险、错过当期运作期到期日未能赎回而进入下一运作期的风险、每份基金份额的实际运作期期限因周末、法定节假日影响或有不同的风险、集中赎回的流动性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（4）运作期期限或有变化的风险。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本基金暂不向金融机构自营账户销售，如未来本基金开放向金融机构自营账户公开销售或对销售对象的范围予以进一步限定，基金管理人将另行公告。</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