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汇添富添福汇盈稳健养老目标一年持有期混合型基金中基金（FOF）Y类份额更新基金产品资料概要(2024年06月07日更新)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汇添富添福汇盈稳健养老目标一年持有混合(FOF)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013155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汇添富添福汇盈稳健养老目标一年持有混合(FOF)Y</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017371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华夏银行股份有限公司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2021年10月15日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基金中基金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蔡健林</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2021年10月15日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陈思</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2022年07月15日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2014年07月08日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1、本基金为偏债混合型基金中基金。</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2、自2022年11月17日起本基金增设Y类基金份额。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本基金根据特定的风险偏好设定权益类资产、非权益类资产的基准配置比例，采用成熟的资产配置策略，合理控制投资组合波动风险，追求养老资产的长期稳健增值。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经中国证监会依法核准或注册的公开募集证券投资基金（以下简称“证券投资基金”，包含公开募集基础设施证券投资基金（简称公募REITs）、封闭式基金、开放式基金、上市开放式基金（LOF）和交易型开放式指数基金（ETF）、QDII基金、香港互认基金、商品基金（含商品期货基金和黄金ETF）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投资目标，本基金还可投资于股票（包含主板、创业板及其他中国证监会允许上市的股票、存托凭证）、港股通标的股票、债券（包含国债、金融债、企业债、公司债、地方政府债、次级债、可转换债券（含分离交易可转债）、可交换债券、央行票据、中期票据、短期融资券（含超短期融资券）等）、资产支持证券、债券回购、银行存款、同业存单、货币市场工具及法律法规或中国证监会允许基金投资的其他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为混合型基金中基金（FOF），投资于证券投资基金的比例不低于基金资产的80%，投资于股票（含存托凭证）、股票型证券投资基金、混合型证券投资基金、商品基金（含商品期货基金和黄金ETF）等品种的比例合计原则上不高于基金资产的30%，投资于港股通标的股票的比例不超过股票资产的50%，本基金持有现金或到期日在一年以内的政府债券的投资比例合计不低于基金资产净值的5%。本基金所指的现金不包括结算备付金、存出保证金、应收申购款等资金类别，法律法规另有规定的从其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作为服务个人养老投资需求的一站式配置工具，本基金定位为稳健型的目标风险基金，面向风险收益特征相对稳健的投资者。</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因此，本基金采用稳健的目标风险策略，在严格控制组合下行风险的前提下确定大类资产配置比例，并通过全方位的定量和定性分析方法精选出优质基金组成投资组合，以期达到风险收益的优化平衡，实现基金资产的长期增值。本基金的风险等级为稳健型，力争在控制风险的前提下实现基金资产的长期稳健增值。本基金投资策略包括：资产配置策略、基金投资策略（包括但不限于公募REITs投资策略）、股票投资策略、债券投资策略、可转债及可交换债投资策略、资产支持证券投资策略、风险管理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中证800指数收益率×25%+中债综合指数收益率×75%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本基金为混合型基金中基金，其预期风险和收益水平高于债券型基金中基金和货币型基金中基金，低于股票型基金中基金。同时，本基金为目标风险系列基金中基金中风险收益特征相对稳健的基金。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本基金可以投资港股通标的股票，将面临港股通机制下因投资环境、投资标的、市场制度以及交易规则等差异带来的特有风险。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9573397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24878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Y类基金份额不收取赎回费用。对于Y类基金份额，在满足《个人养老金投资公开募集证券投资基金业务管理暂行规定》等法律法规规定及基金合同约定的情形下可豁免最短持有限制，具体安排及费率按更新的招募说明书或相关公告执行。法律法规或监管机关另有规定的，从其规定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0.075%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等交易费用、基金的银行汇划费用、基金投资其他基金产生的其他基金的销售费用（但法律法规禁止从基金财产中列支的除外）、基金的开户费用、账户维护费用、因投资港股通标的股票而产生的各项合理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0.46%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对基金财产中持有的本基金管理人自身管理的基金部分不收取管理费、对基金财产中持有的本基金托管人自身托管的基金部分不收取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流动性风险、管理风险、信用风险、操作或技术风险、合规性风险、本基金的特有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未达到领取条件时不可领取Y类基金份额赎回资金的风险；（2）无法继续投资Y类基金份额的风险；（3）基金投资其他基金的风险；（4）基金投资港股通标的股票的风险；（5）基金投资资产支持证券的风险；（6）最短持有期限内不能赎回基金份额的风险；（7）基金投资存托凭证的风险；（8）基金投资公募REITs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