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汇添富添福吉祥混合型证券投资基金更新基金产品资料概要(2024年06月07日更新)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汇添富添福吉祥混合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004774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2017年07月24日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何彪</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本基金主要投资于债券等固定收益类金融工具，适度投资权益类品种以增强收益，在科学严格管理风险的前提下，力争实现稳定的绝对回报，为投资者提供稳健收益的理财工具。</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的投资范围为具有良好流动性的金融工具，包括国内依法发行上市的股票(包括中小板、创业板及其他经中国证监会核准上市的股票)、存托凭证、债券(包括国债、央行票据、金融债券、企业债券、公司债券、中期票据、短期融资券、超短期融资券、次级债券、政府机构债券、地方政府债券、可交换债券、中小企业私募债券、可转换债券(含分离交易可转债)及其他经中国证监会允许投资的债券)、资产支持证券、债券回购、银行存款(包括协议存款、定期存款及其他银行存款)、同业存单、货币市场工具、权证、股指期货、国债期货、股票期权以及法律法规或中国证监会允许基金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基金的投资组合比例为：股票资产及存托凭证占基金资产的比例为 0%-30%；基金持有全部权证的市值不得超过基金资产净值的3%；每个交易日日终在扣除股指期货、国债期货和股票期权合约需缴纳的保证金以后，基金保留的现金或投资于到期日在一年以内的政府债券的比例合计不低于基金资产净值的 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稳健的投资策略，通过债券等固定收益类资产的投资获取平稳收益，并适度参与股票等权益类资产的投资增强回报，在灵活配置各类资产以及严格的风险管理基础上，力争实现基金资产的持续稳定增值。本基金的投资策略主要包括：资产配置策略、债券投资策略、股票投资策略、资产支持证券投资策略、国债期货投资策略、股指期货投资策略、股票期权投资策略、权证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中债综合指数收益率*80%+中证500指数收益率*20%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本基金为债券投资为主的混合型基金，属于中低风险、中低收益预期的基金品种，其预期风险收益水平低于股票型基金，高于债券型基金及货币市场基金。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57960275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1599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《基金合同》生效后与基金相关的律师费、仲裁费和诉讼费；基金份额持有人大会费用；基金的证券、期货交易费用；基金的银行汇划费用；基金的开户费用、账户维护费用等。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面临市场风险、管理风险、流动性风险、特有风险、操作或技术风险、合规性风险、其他风险，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（1）中小企业私募债券投资风险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（2）股指期货投资风险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（3）股票期权投资风险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（5）参与融资交易风险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7）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