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汇添富添福睿选稳健养老目标一年持有期混合型基金中基金（FOF）Y类份额更新基金产品资料概要(2024年06月07日更新)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汇添富添福睿选稳健养老一年持有混合（FOF）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012743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汇添富添福睿选稳健养老一年持有混合（FOF）Y</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017367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2021年08月20日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蔡健林</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自2022年11月17日起本基金增设Y类基金份额。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本基金根据特定的风险偏好设定权益类资产、非权益类资产的基准配置比例，采用成熟的资产配置策略，合理控制投资组合波动风险，追求养老资产的长期稳健增值。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本基金主要投资于经中国证监会依法核准或注册的公开募集证券投资基金（以下简称“证券投资基金”，包含公开募集基础设施证券投资基金（简称公募REITs）、QDII基金和香港互认基金）。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主板、中小板、创业板及其他中国证监会允许上市的股票、存托凭证）、港股通标的股票、债券（包含国债、金融债、企业债、公司债、地方政府债、次级债、可转换债券（含分离交易可转债）、可交换债券、央行票据、中期票据、短期融资券（含超短期融资券）等）、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投资于股票（含存托凭证）、股票型证券投资基金、混合型证券投资基金、商品基金（含商品期货基金和黄金ETF）等品种的比例合计原则上不高于基金资产的30%，投资于港股通标的股票的比例不超过股票资产的50%，本基金自基金合同生效日一年后的年度对应日之后，持有现金或到期日在一年以内的政府债券的投资比例合计不低于基金资产净值的5%。本基金所指的现金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目标风险策略，在严格控制投资组合下行风险的前提下确定大类资产配置比例，并通过全方位的定量和定性分析方法精选出优质基金组成投资组合，以期达到风险收益的优化平衡，实现基金资产的长期增值。本基金的风险等级为稳健型，力争在控制风险的前提下实现基金资产的长期稳健增值。本基金主要投资策略包括：资产配置策略、基金投资策略（包括但不限于公募REITs投资策略）、股票投资策略、债券投资策略、可转债及可交换债投资策略、资产支持证券投资策略、风险管理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中证800指数收益率×25%+中债综合指数收益率×75%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本基金为混合型基金中基金，其预期风险和收益水平高于债券型基金中基金和货币型基金中基金，低于股票型基金中基金。同时，本基金为目标风险系列基金中基金中风险收益特征相对稳健的基金。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773757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3638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Y类基金份额不收取赎回费用。但在满足《个人养老金投资公开募集证券投资基金业务管理暂行规定》等法律法规规定及基金合同约定的情形下可豁免最短持有限制，具体安排及费率按更新的招募说明书或相关公告执行。法律法规或监管机关另有规定的，从其规定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0.075%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等交易费用、基金的银行汇划费用、基金投资其他基金产生的其他基金的销售费用，但法律法规禁止从基金财产中列支的除外、基金的开户费用、账户维护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流动性风险、管理风险、信用风险、操作或技术风险、合规性风险、本基金的特有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未达到领取条件时不可领取Y类基金份额赎回资金的风险；（2）无法继续投资Y类基金份额的风险；（3）基金投资其他基金的风险；（4）基金投资港股通标的股票的风险；（5）基金投资资产支持证券的风险；（6）最短持有期限内不能赎回基金份额的风险；（7）基金投资存托凭证的风险；（8）基金投资公募REITs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