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汇添富全球医疗保健混合型证券投资基金美元现汇份额更新基金产品资料概要(2024年06月07日更新)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汇添富全球医疗混合(QDII)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004877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汇添富全球医疗混合(QDII)美元现汇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004878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布朗兄弟哈里曼银行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2017年08月16日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美元</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张韡</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2023年11月23日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2014年03月25日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本基金采用自下而上的方法，精选全球医疗保健行业相关公司的股票进行投资布局，在科学严格管理风险的前提下，谋求基金资产的中长期稳健增值。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本基金投资于境内境外市场。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针对境外投资，本基金可投资于下列金融产品或工具：在已与中国证监会签署双边监管合作谅解备忘录的国家或地区证券监管机构登记注册的公募基金(以下无特别说明，均包括 exchange traded fund, ETF)；已与中国证监会签署双边监管合作谅解备忘录的国家或地区证券市场挂牌交易的普通股（包括港股通机制下允许买卖的规定范围内的香港联合交易所上市的股票）、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中小板、创业板、其他依法上市的股票），存托凭证、衍生工具（股指期货、权证、国债期货、股票期权等），债券（国债、金融债、企业（公司）债、次级债、可交换债券、可转换债券（含分离交易可转债）、中小企业私募债券、央行票据、中期票据、短期融资券（含超短期融资券）等）、资产支持证券、债券回购、银行存款、同业存单等固定收益类资产以及现金；法律法规或中国证监会允许基金投资的其他金融工具(但须符合中国证监会相关规定)。本基金为对冲外币的汇率风险，可以投资于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本基金可以进行境外证券借贷交易、 境外正回购交易、逆回购交易、境内融资交易。 有关证券借贷交易的内容以专门签署的三方或多方协议约定为准。如法律法规或监管机构以后允许基金投资其他品种，基金管理人在履行适当程序后，可以将其纳入投资范围。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基金的投资组合比例为：股票及存托凭证投资占基金资产的比例为 60%-95%。本基金以全球医疗保健行业相关公司股票及存托凭证为主要投资对象，投资于全球医疗保健行业相关公司股票及存托凭证的资产占非现金基金资产的比例不低于 80%。现金或者到期日在一年以内的政府债券投资比例合计不低于基金资产净值的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本基金投资于全球市场，包括境内市场和境外市场，其中主要境外市场有：美国、欧洲、日本、香港和加拿大等国家或地区。投资各个市场股票及其他权益类证券市值占基金资产的比例上限均为 95%。</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香港市场可通过合格境内机构投资者( QDII)境外投资额度和港股通机制进行投资，投资于港股通标的股票的比例占基金资产的 0%-95%。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稳健的资产配置和积极的股票投资策略。在资产配置中，根据宏观经济和证券市场状况，通过分析股票市场、固定收益产品及货币市场工具等的预期风险收益特征，确定投资组合的投资范围和比例。在股票投资中，采用“自下而上”的策略，精选出全球医疗保健主题相关公司中商业模式清晰、竞争优势明显、具有长期持续增长模式且估值水平相对合理的上市公司，精心科学构建股票投资组合，并辅以严格的投资组合风险控制，以获得中长期的较高投资收益。本基金投资策略的重点是精选股票策略。本基金的投资策略还包括：基金投资策略、固定收益率资产投资策略、衍生品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标普全球1200医疗保健指数收益率×50%+恒生香港上巿生物科技指数收益率×20%+中证医药卫生指数收益率×20%+一年期人民币定期存款利率(税后) ×10%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本基金为主要投资于全球医疗保健行业相关公司股票的混合型基金，属于证券投资基金中高预期风险高预期收益的品种，其预期风险与预期收益低于股票型基金、高于债券型基金和货币市场基金。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1246097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8091"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200美元/笔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《基金合同》生效后与基金相关的律师费、诉讼费；基金的证券交易费用及在境外市场的交易、清算、登记等实际发生的费用（out-of-pocket fees）；基金份额持有人大会费用；基金依照有关法律法规应当缴纳的，购买或处置证券有关的任何税收、征费、关税、印花税及预扣提税（以及与前述各项有关的任何利息及费用）（简称“税收”）；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2.20%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主要投资于全球医疗保健行业的股票，基金净值会因为全球医疗保健市场波动等因素产生波动。本基金还可能面临启用侧袋机制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一、投资产品风险：1、市场风险；2、汇率风险；3、政治风险。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二、开放式基金风险：1、流动性风险；2、利率风险；3、信用风险；4、操作风险；5、交易结算风险；6、会计核算风险；7、税务风险；8、法律风险；9、正回购/逆回购风险；10、证券借贷风险；11、衍生品投资风险；12、大宗交易风险；13、不可抗力风险；14、境内存托凭证投资风险；15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