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汇添富深证300交易型开放式指数证券投资基金联接基金A类份额更新基金产品资料概要(2024年06月07日更新)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汇添富深证300ETF联接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470068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汇添富深证300ETF联接A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470068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2011年09月28日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孙浩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通过投资于目标ETF，紧密跟踪标的指数，追求跟踪偏离度和跟踪误差最小化。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本基金的标的指数为深证300指数及其未来可能发生的变更。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具有良好流动性的金融工具，包括国内依法发行上市的股票(包括中小板、创业板及其他经中国证监会核准上市的股票)、存托凭证、目标ETF、债券、货币市场工具、权证、股指期货、资产支持证券以及法律法规或中国证监会允许基金投资的其他金融工具(但需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其中投资于目标ETF的比例不少于基金资产净值的90%，现金或者到期日在一年以内的政府债券不低于基金资产净值的5%，本基金所指的现金不包括结算备付金、存出保证金、应收申购款等。权证、股指期货及其他金融工具的投资比例依照法律法规或监管机构的规定执行。法律法规或监管机构日后允许本基金投资的其他品种，基金管理人在履行适当程序后，可以将其纳入投资范围。</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本基金以深证 300 交易型开放式指数证券投资基金作为其主要投资标的，方便特定的客户群通过本基金投资目标 ETF。本基金并不参与目标 ETF 的管理。本基金主要以一级市场申购的方式投资于目标ETF，获取基金份额净值上涨带来的收益；在目标ETF基金份额二级市场交易流动性较好的情况下，也可以通过二级市场买卖目标ETF的基金份额。本基金建仓时间为 6个月，6个月之后本基金投资组合比例达到《基金合同》的相关规定。本基金的投资策略主要包括：资产配置策略、目标ETF的投资策略。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深证300指数收益率*95%+银行活期存款利率(税后)*5%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股票型基金，预期风险与预期收益水平高于混合型基金、债券型基金与货币市场基金。同时本基金通过投资于目标ETF，紧密跟踪标的指数，具有与标的指数、以及标的指数所代表的股票市场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79035358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038047"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7天≤N&lt;365天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365天≤N&lt;730天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40500.00元/年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本基金基金财产中投资于目标ETF的部分不收取管理费。2、本基金基金财产中投资于目标ETF的部分不收取托管费。3、《基金合同》生效后与基金相关的律师费和诉讼费；基金份额持有人大会费用；基金的证券交易费用；基金的银行汇划费用；按照国家有关规定和《基金合同》约定，可以在基金财产中列支的其他费用。本基金终止清算时所发生费用，按实际支出额从基金财产总值中扣除。</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0.80%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投资于本基金的风险包括：市场风险、流动性风险、管理风险、特定风险、操作或技术风险、合规性风险、其他风险。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特定风险包括：1、目标ETF的风险：本基金为ETF联接基金，主要投资对象是目标ETF，因此目标ETF面临的风险可能直接或间接成为本基金的风险。2、标的指数回报与股票市场平均回报偏离的风险。3、标的指数波动的风险。4、基金投资组合回报与标的指数回报偏离的风险或导致跟踪误差未达约定目标的风险。 5、标的指数变更的风险以及指数编制机构停止服务的风险。6、成份股停牌的风险。7、存托凭证投资风险。8、启用侧袋机制的风险。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中国证监会对本基金募集的核准，并不表明其对本基金的价值和收益作出实质性判断或保证，也不表明投资于本基金没有风险。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