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汇添富全球消费行业混合型证券投资基金人民币C类份额更新基金产品资料概要(2024年06月07日更新)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006308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汇添富全球消费混合(QDII)人民币C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006309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北美信托银行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本基金采用自下而上的投资方法，以基本面分析为立足点，在科学严格管理风险的前提下，精选全球消费行业相关优质公司的股票进行投资布局，为基金份额持有人谋求基金资产的中长期稳健增值。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针对境外投资，本基金可投资于下列金融产品或工具：在已与中国证监会签署双边监管合作谅解备忘录的国家或地区证券监管机构登记注册的公募基金（以下无特别说明，均包括exchange traded fund, ETF）；已与中国证监会签署双边监管合作谅解备忘录的国家或地区证券市场挂牌交易的普通股（包括港股通机制下允许买卖的规定范围内的香港联合交易所上市的股票）、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远期合约、互换及经中国证监会认可的境外交易所上市交易的权证、期权、期货等金融衍生产品、与固定收益、股权、信用、商品指数、基金等标的物挂钩的结构性投资产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中小板、创业板、其他依法上市的股票），存托凭证、衍生工具（股指期货、权证、国债期货、股票期权等），债券（国债、金融债、企业（公司）债、次级债、可交换债券、可转换债券（含分离交易可转债）、中小企业私募债券、央行票据、中期票据、短期融资券（含超短期融资券）等）、资产支持证券、债券回购、银行存款、同业存单、货币市场工具等资产以及法律法规或中国证监会允许基金投资的其他金融工具（但须符合中国证监会相关规定）。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本基金可以进行境外证券借贷交易、境外正回购交易、逆回购交易、境内融资交易。有关证券借贷交易的内容以专门签署的三方或多方协议约定为准。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基金的投资组合比例为：股票及存托凭证投资占基金资产的比例为 60%-95%。本基金以全球消费行业相关公司股票及存托凭证为主要投资对象，投资于全球消费行业相关公司股票及存托凭证的资产占非现金基金资产的比例不低于 80%。现金或者到期日在一年以内的政府债券投资比例合计不低于基金资产净值的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本基金投资于全球市场，包括境内市场和境外市场，其中主要境外市场有：美国、欧洲、日本、香港和加拿大等国家或地区。投资各个市场股票及其他权益类证券市值占基金资产的比例上限均为 95%。</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香港市场可通过合格境内机构投资者(QDII)境外投资额度和港股通机制进行投资，投资于港股通标的股票的比例占基金资产的 0%-95%。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稳健的资产配置和积极的股票投资策略。在资产配置中，根据宏观经济和证券市场状况，通过分析股票市场、固定收益产品及货币市场工具等的预期风险收益特征，确定投资组合的投资范围和比例。在股票投资中，采用“自下而上”的策略，精选全球消费行业相关优质公司的股票进行投资布局，精心科学构建股票投资组合，并辅以严格的投资组合风险控制，以获得中长期的较高投资收益。本基金投资策略的重点是精选股票策略。本基金的投资策略主要包括：资产配置策略、个股精选策略、基金投资策略、固定收益类资产投资策略、中小企业私募债券投资策略、资产支持证券投资策略、衍生品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明晟全球可选消费指数收益率×30%+明晟全球主要消费指数收益率×20%+恒生新消费指数收益率×20%+中证内地消费主题指数收益率×20%+中债-综合财富(总值)指数收益率×10%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本基金为主要投资于全球范围内的消费行业相关优质上市公司股票的混合型基金，风险与预期收益水平低于股票型基金、高于债券型基金和货币市场基金。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1494017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50211"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 C 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《基金合同》生效后与基金相关的律师费、诉讼费；基金的证券交易费用及在境外市场的交易、清算、登记等实际发生的费用（out-of-pocket fees）；基金份额持有人大会费用；因投资港股通标的股票而产生的各项合理费用；基金依照有关法律法规应当缴纳的，购买或处置证券有关的任何税收、征费、关税、印花税及预扣提税（以及与前述各项有关的任何利息及费用）（简称“税收”）；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3.17%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主要投资于全球消费行业的股票，基金净值会因为全球消费行业市场波动等因素产生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一、投资产品风险：1、市场风险；2、汇率风险；3、政治风险。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二、开放式基金风险：1、流动性风险；2、利率风险；3、信用风险；4、操作风险；5、交易结算风险；6、会计核算风险；7、税务风险；8、法律风险；9、正回购/逆回购风险；10、证券借贷风险；11、衍生品投资风险；12、大宗交易风险；13、通过港股通机制投资港股的风险；14、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15、税负增加风险；16、不可抗力风险；17、境内存托凭证投资风险：本基金可投资境内存托凭证，除普通境内股票投资可能面临的宏观经济风险、政策风险、市场风险、流动性风险外，投资境内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18、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