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汇添富深证300交易型开放式指数证券投资基金联接基金C类份额更新基金产品资料概要(2024年06月07日更新)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汇添富深证300ETF联接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汇添富深证300ETF联接C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018058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2011年09月28日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自2023年3月8日起，汇添富深证300交易型开放式指数证券投资基金联接基金增设C类基金份额。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本基金的标的指数为深证300指数及其未来可能发生的变更。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包括国内依法发行上市的股票(包括中小板、创业板及其他经中国证监会核准上市的股票)、存托凭证、目标ETF、债券、货币市场工具、权证、股指期货、资产支持证券以及法律法规或中国证监会允许基金投资的其他金融工具(但需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其中投资于目标ETF的比例不少于基金资产净值的90%，现金或者到期日在一年以内的政府债券不低于基金资产净值的5%，本基金所指的现金不包括结算备付金、存出保证金、应收申购款等。权证、股指期货及其他金融工具的投资比例依照法律法规或监管机构的规定执行。法律法规或监管机构日后允许本基金投资的其他品种，基金管理人在履行适当程序后，可以将其纳入投资范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本基金以深证 300 交易型开放式指数证券投资基金作为其主要投资标的，方便特定的客户群通过本基金投资目标 ETF。本基金并不参与目标 ETF 的管理。本基金主要以一级市场申购的方式投资于目标ETF，获取基金份额净值上涨带来的收益；在目标ETF基金份额二级市场交易流动性较好的情况下，也可以通过二级市场买卖目标ETF的基金份额。本基金建仓时间为 6个月，6个月之后本基金投资组合比例达到《基金合同》的相关规定。本基金的投资策略主要包括：资产配置策略、目标ETF的投资策略。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深证300指数收益率*95%+银行活期存款利率(税后)*5%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股票型基金，预期风险与预期收益水平高于混合型基金、债券型基金与货币市场基金。同时本基金通过投资于目标ETF，紧密跟踪标的指数，具有与标的指数、以及标的指数所代表的股票市场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40500.00元/年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本基金基金财产中投资于目标ETF的部分不收取管理费。2、本基金基金财产中投资于目标ETF的部分不收取托管费。3、《基金合同》生效后与基金相关的律师费和诉讼费；基金份额持有人大会费用；基金的证券交易费用；基金的银行汇划费用；按照国家有关规定和《基金合同》约定，可以在基金财产中列支的其他费用。本基金终止清算时所发生费用，按实际支出额从基金财产总值中扣除。</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1.20%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投资于本基金的风险包括：市场风险、流动性风险、管理风险、特定风险、操作或技术风险、合规性风险、其他风险。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特定风险包括：1、目标ETF的风险：本基金为ETF联接基金，主要投资对象是目标ETF，因此目标ETF面临的风险可能直接或间接成为本基金的风险。2、标的指数回报与股票市场平均回报偏离的风险。3、标的指数波动的风险。4、基金投资组合回报与标的指数回报偏离的风险或导致跟踪误差未达约定目标的风险。 5、标的指数变更的风险以及指数编制机构停止服务的风险。6、成份股停牌的风险。7、存托凭证投资风险。8、启用侧袋机制的风险。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