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汇添富全球消费行业混合型证券投资基金美元现汇份额更新基金产品资料概要(2024年06月07日更新)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汇添富全球消费混合(QDII)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006308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汇添富全球消费混合(QDII)美元现汇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006310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北美信托银行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2018年09月21日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美元</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郑慧莲</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2018年09月21日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本基金采用自下而上的投资方法，以基本面分析为立足点，在科学严格管理风险的前提下，精选全球消费行业相关优质公司的股票进行投资布局，为基金份额持有人谋求基金资产的中长期稳健增值。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针对境外投资，本基金可投资于下列金融产品或工具：在已与中国证监会签署双边监管合作谅解备忘录的国家或地区证券监管机构登记注册的公募基金（以下无特别说明，均包括exchange traded fund, ETF）；已与中国证监会签署双边监管合作谅解备忘录的国家或地区证券市场挂牌交易的普通股（包括港股通机制下允许买卖的规定范围内的香港联合交易所上市的股票）、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中小板、创业板、其他依法上市的股票），存托凭证、衍生工具（股指期货、权证、国债期货、股票期权等），债券（国债、金融债、企业（公司）债、次级债、可交换债券、可转换债券（含分离交易可转债）、中小企业私募债券、央行票据、中期票据、短期融资券（含超短期融资券）等）、资产支持证券、债券回购、银行存款、同业存单、货币市场工具等资产以及法律法规或中国证监会允许基金投资的其他金融工具（但须符合中国证监会相关规定）。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本基金可以进行境外证券借贷交易、境外正回购交易、逆回购交易、境内融资交易。有关证券借贷交易的内容以专门签署的三方或多方协议约定为准。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基金的投资组合比例为：股票及存托凭证投资占基金资产的比例为 60%-95%。本基金以全球消费行业相关公司股票及存托凭证为主要投资对象，投资于全球消费行业相关公司股票及存托凭证的资产占非现金基金资产的比例不低于 80%。现金或者到期日在一年以内的政府债券投资比例合计不低于基金资产净值的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本基金投资于全球市场，包括境内市场和境外市场，其中主要境外市场有：美国、欧洲、日本、香港和加拿大等国家或地区。投资各个市场股票及其他权益类证券市值占基金资产的比例上限均为 95%。</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香港市场可通过合格境内机构投资者(QDII)境外投资额度和港股通机制进行投资，投资于港股通标的股票的比例占基金资产的 0%-95%。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稳健的资产配置和积极的股票投资策略。在资产配置中，根据宏观经济和证券市场状况，通过分析股票市场、固定收益产品及货币市场工具等的预期风险收益特征，确定投资组合的投资范围和比例。在股票投资中，采用“自下而上”的策略，精选全球消费行业相关优质公司的股票进行投资布局，精心科学构建股票投资组合，并辅以严格的投资组合风险控制，以获得中长期的较高投资收益。本基金投资策略的重点是精选股票策略。本基金的投资策略主要包括：资产配置策略、个股精选策略、基金投资策略、固定收益类资产投资策略、中小企业私募债券投资策略、资产支持证券投资策略、衍生品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明晟全球可选消费指数收益率×30%+明晟全球主要消费指数收益率×20%+恒生新消费指数收益率×20%+中证内地消费主题指数收益率×20%+中债-综合财富(总值)指数收益率×10%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本基金为主要投资于全球范围内的消费行业相关优质上市公司股票的混合型基金，风险与预期收益水平低于股票型基金、高于债券型基金和货币市场基金。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897615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58800"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200美元/笔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《基金合同》生效后与基金相关的律师费、诉讼费；基金的证券交易费用及在境外市场的交易、清算、登记等实际发生的费用（out-of-pocket fees）；基金份额持有人大会费用；因投资港股通标的股票而产生的各项合理费用；基金依照有关法律法规应当缴纳的，购买或处置证券有关的任何税收、征费、关税、印花税及预扣提税（以及与前述各项有关的任何利息及费用）（简称“税收”）；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2.17%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主要投资于全球消费行业的股票，基金净值会因为全球消费行业市场波动等因素产生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一、投资产品风险：1、市场风险；2、汇率风险；3、政治风险。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二、开放式基金风险：1、流动性风险；2、利率风险；3、信用风险；4、操作风险；5、交易结算风险；6、会计核算风险；7、税务风险；8、法律风险；9、正回购/逆回购风险；10、证券借贷风险；11、衍生品投资风险；12、大宗交易风险；13、通过港股通机制投资港股的风险；14、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15、税负增加风险；16、不可抗力风险；17、境内存托凭证投资风险：本基金可投资境内存托凭证，除普通境内股票投资可能面临的宏观经济风险、政策风险、市场风险、流动性风险外，投资境内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18、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