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汇添富数字经济核心产业一年持有期混合型证券投资基金A类份额更新基金产品资料概要(2024年06月07日更新)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马翔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郑乐凯</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2023年05月12日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2014年07月15日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一年的最短持有期，在最短持有期内基金份额持有人不能提出赎回申请，最短持有期届满后方可提出赎回申请。以红利再投资方式取得的基金份额的持有到期时间与投资者原持有的基金份额最短持有期到期时间一致。</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本基金以基本面分析为立足点，在科学严格管理风险的前提下，重点投资于数字经济核心产业相关上市公司，力争实现基金资产的中长期稳健增值。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公开发行的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数字经济核心产业相关上市公司证券的比例不低于非现金基金资产的80%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如法律法规或监管机构变更投资品种的投资比例限制，基金管理人在履行适当程序后，可以调整上述投资品种的投资比例。 </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数字经济核心产业中的优质上市公司。本基金的投资策略还包括债券投资策略、可转债及可交换债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中证文体指数收益率*20%+中证TMT产业主题指数收益率*20%+中证消费服务领先指数收益率*20%+恒生指数收益率(使用估值汇率折算)*20%+中债综合指数收益率*20%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6147141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87321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通过本公司直销中心申购本基金A类基金份额的特定投资群体申购费用为每笔500元。未通过本公司直销中心申购本基金A类基金份额的特定投资群体，申购费率参照其他投资者适用的A类基金份额的申购费率执行。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账户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其中包括最短持有期限内不能赎回基金份额的风险）、特有风险、操作或技术风险、合规性风险、本基金法律文件风险收益特征表述与销售机构基金风险评价可能不一致的风险、启用侧袋机制的风险及其他风险等。其中特有风险包括：1、股指期货投资风险；2、股票期权投资风险；3、国债期货投资风险；4、参与融资交易风险；5、投资港股通标的股票的风险；6、资产支持证券投资风险；7、流通受限证券投资风险；8、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