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汇添富上证综合指数证券投资基金A类份额更新基金产品资料概要(2024年06月07日更新)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汇添富上证综合指数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470007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汇添富上证综合指数A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470007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2009年07月01日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吴振翔</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2010年02月06日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2006年01月01日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抽样复制方法进行指数化投资，通过严格的投资纪律约束和数量化风险管理手段，力争控制本基金净值增长率与业绩比较基准之间的日平均跟踪误差小于0.35%，且年化跟踪误差小于6%，以实现对基准指数的有效跟踪。</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本基金的标的指数为上证综合指数。</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具有良好流动性的金融工具，主要包括上海证券交易所上市交易的所有股票、新股(如一级市场初次发行或增发)、存托凭证等，其中股票资产及存托凭证占基金资产的比例为90%-95%，现金或者到期日在一年以内的政府债券不低于基金资产净值的5%，本基金所指的现金不包括结算备付金、存出保证金、应收申购款等。投资于标的指数成份股的资产占基金资产的比例不低于80%(但因法律法规限制原因导致本基金不能投资相关股票而致使本基金不能达到上述比例的情形除外)。今后如果法律法规允许，本基金的股票及存托凭证投资比例可以提高到基金资产净值的100%。</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如以后法律法规及中国证监会允许基金投资其他金融工具，如股指期货、ETF等，本基金可以依照法律法规或监管机构的规定，将其纳入投资范围。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今后在有关法律法规许可时，本基金资产配置比例可作相应调整，股票资产及存托凭证投资比例可达到法律法规有关规定的限额。</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被动式指数基金，原则上采用抽样复制指数的投资策略，综合考虑个股的总市值规模、流动性、行业代表性及抽样组合与上证综合指数的相关性，主要选择上海证券交易所上市交易的部分股票构建基金股票投资组合，并根据优化模型确定投资组合中的个股权重，以实现基金净值增长率与业绩比较基准之间的日平均跟踪误差小于0.35%且年化跟踪误差小于6%的投资目标。当成份股发生分红、配股、增发等行为时，或因基金的申购和赎回等对本基金跟踪业绩比较基准的效果可能带来影响时，或因某些特殊情况导致流动性不足时，或因其他原因导致无法有效复制和跟踪基准指数时，基金管理人可以对投资组合管理进行适当变通和调整，最终使跟踪误差控制在限定的范围之内。本基金建仓时间为 3个月，3个月之后本基金投资组合比例达到《基金合同》的相关规定。本基金的投资策略主要包括：资产配置、抽样股票组合构建、股票组合调整、存托凭证的投资策略。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上证综合指数收益率*95%+银行活期存款利率(税后)*5%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本基金为股票型基金，属于证券投资基金中较高风险较高收益的品种。</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89666985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836563"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7天≤N&lt;365天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365天≤N&lt;730天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0.75%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63000.00元/年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《基金合同》生效后与基金相关的律师费、基金份额持有人大会费用、证券交易费用、银行汇划费用等费用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0.92%</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面临的风险包括：市场风险、管理风险、跟踪误差风险及跟踪误差未达约定目标的风险、标的指数变更的风险以及指数编制机构停止服务的风险、成份股停牌的风险、对上证综合指数进行跟踪特有的操作风险、巨额申购赎回所隐含的风险、流动性风险、合规性风险、其他风险、基金投资科创板股票的风险、存托凭证投资风险、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中国证监会对本基金募集的核准，并不表明其对本基金的价值和收益作出实质性判断或保证，也不表明投资于本基金没有风险。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