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汇添富数字经济引领发展三年持有期混合型证券投资基金A类份额更新基金产品资料概要(2024年06月07日更新)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汇添富数字经济引领发展三年持有混合</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汇添富数字经济引领发展三年持有混合A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011665</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招商银行股份有限公司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2021年07月20日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混合型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最短持有期三年</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杨瑨</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2021年07月20日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2010年07月27日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本基金对于每份基金份额设置三年的最短持有期，在最短持有期内基金份额持有人不能提出赎回申请，最短持有期届满后方可提出赎回申请。以红利再投资方式取得的基金份额的持有到期时间与投资者原持有的基金份额最短持有期到期时间一致，因多笔认购、申购导致原持有基金份额最短持有期不一致的，分别计算。</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本基金采用自下而上的投资方法，以基本面分析为立足点，在科学严格管理风险的前提下，重点投资于数字经济主题相关的优质上市公司，谋求基金资产的中长期稳健增值。</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投资范围为具有良好流动性的金融工具，包括国内依法发行上市的股票（含主板、中小板、创业板及其他经中国证监会允许上市的股票）、存托凭证、港股通标的股票、债券（包括国债、央行票据、金融债券、企业债券、公司债券、中期票据、短期融资券、超短期融资券、公开发行的次级债券、政府机构债券、地方政府债券、可交换债券、可转换债券（含分离交易可转债的纯债部分）及其他经中国证监会允许投资的债券）、资产支持证券、债券回购、同业存单、银行存款（包括协议存款、定期存款及其他银行存款）、货币市场工具、股指期货、股票期权、国债期货以及法律法规或中国证监会允许基金投资的其他金融工具(但须符合中国证监会相关规定)。本基金还可根据法律法规参与融资。</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股票资产及存托凭证占基金资产的比例不低于60%（其中投资于港股通标的股票的比例不超过股票资产的50%）；每个交易日日终在扣除股指期货、国债期货和股票期权合约需缴纳的交易保证金后，本基金保留的现金或投资于到期日在一年以内的政府债券的比例合计不低于基金资产净值的5%，其中现金不包括结算备付金、存出保证金、应收申购款等。本基金投资于数字经济主题上市公司股票资产及存托凭证占非现金基金资产的比例不低于80%。</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投资策略主要包括资产配置策略和个股精选策略。其中，资产配置策略用于确定大类资产配置比例以有效规避系统性风险；个股精选策略主要用于挖掘股票市场中与数字经济主题相关的优质上市公司。本基金的投资策略还包括债券投资策略、资产支持证券投资策略、股指期货投资策略、股票期权投资策略、融资投资策略、国债期货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沪深300指数收益率*50%+恒生指数收益率（使用估值汇率折算）*30%+中债综合指数收益率*20%</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本基金为混合型基金，其预期风险收益水平低于股票型基金、高于债券型基金及货币市场基金。</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本基金除了投资A股以外，还可以根据法律法规规定投资港股通标的股票，将面临港股通机制下因投资环境、投资标的、市场制度以及交易规则等差异带来的特有风险。</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0987887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199629"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每笔1000元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非特定投资群体</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通过直销中心申购本基金A类基金份额的特定投资群体申购费用为每笔500元。未通过直销中心申购本基金A类基金份额的特定投资群体，申购费率参照非特定投资群体适用的A类基金份额申购费率执行。</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gridSpan w:val="3"/>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本基金A类基金份额不收取赎回费。</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1.2%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90000.00元/年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律师费、诉讼费和仲裁费、基金份额持有人大会费用、基金的证券/期货等交易费用、基金的银行汇划费用、基金的开户费用、账户维护费用、因投资港股通标的股票而产生的各项合理费用等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1.40%</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 xml:space="preserve">本基金的风险包括：市场风险、管理风险、流动性风险、特有风险、税负增加风险、操作或技术风险、合规性风险、本基金法律文件风险收益特征表述与销售机构基金风险评价可能不一致的风险、其他风险。其中特有风险包括：1、股指期货投资风险；2、股票期权投资风险；3、国债期货投资风险；4、参与融资交易风险；5、投资港股通标的股票的风险；6、资产支持证券投资风险；7、流通受限证券投资风险；8、本基金设置三年最短持有期，投资者面临在最短持有期到期日前将面临不能赎回的风险；9、启用侧袋机制的风险；10、存托凭证投资风险。 </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