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汇添富全球汽车产业升级混合型证券投资基金（QDII）美元现汇份额更新基金产品资料概要(2024年06月07日更新)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汇添富全球汽车产业升级混合(QDII)</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016199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汇添富全球汽车产业升级混合(QDII)美元现汇</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016200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道富银行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2022年09月02日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美元</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卞正</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2022年09月02日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2016年07月07日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宋体"/>
          <w:iCs/>
          <w:color w:val="000000"/>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本基金在严格控制组合风险的前提下，以基本面分析为立足点，重点投资于全球汽车产业升级主题相关上市公司，力争实现基金资产的长期稳健增值。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本基金投资于境内境外市场。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包括港股通机制下允许买卖的规定范围内的香港联合交易所上市的股票）、优先股、全球存托凭证、房地产信托凭证；在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本基金根据法律法规相关规定可以进行境外证券借贷交易、境外正回购交易、逆回购交易。有关证券借贷交易的内容以专门签署的三方或多方协议约定为准。</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为对冲外币的汇率风险，本基金根据法律法规相关规定可以投资于境外外汇远期合约、结构性外汇远期合约、外汇期权及外汇期权组合、外汇互换协议、与汇率挂钩的结构性投资产品等金融工具。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含创业板及其他经中国证监会允许上市的股票、存托凭证）、债券（国债、央行票据、金融债券、企业债券、公司债券、中期票据、短期融资券（含超短期融资券）、次级债券、政府机构债券、地方政府债券、可交换债券、可转换债券（含分离交易可转债）及其他经中国证监会允许投资的债券）、资产支持证券、债券回购、银行存款（包括协议存款、定期存款及其他银行存款）、同业存单、货币市场工具、衍生工具（包括股指期货、国债期货、股票期权）以及法律法规或中国证监会允许基金投资的其他金融工具（但须符合中国证监会相关规定）。本基金还可根据法律法规的规定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占基金资产的比例为60%~95%；投资于全球汽车产业升级主题相关上市公司股票的资产占非现金基金资产的比例不低于80%。每个交易日日终在扣除股指期货、国债期货和股票期权合约需缴纳的交易保证金后，应当保持不低于基金资产净值5％的现金或者到期日在一年以内的政府债券，其中现金不包括结算备付金、存出保证金和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全球市场，包括境内市场和境外市场。本基金投资于境外市场的资产占基金资产的比例不低于20%，本基金投资于境内市场的资产占基金资产的比例不低于20%。香港市场可通过合格境内机构投资者（QDII）境外投资额度和港股通机制进行投资。</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资产配置策略和股票投资策略。在资产配置中，根据宏观经济和证券市场状况，通过分析股票市场、固定收益产品及货币市场工具等的预期风险收益特征，确定投资组合的投资范围和比例。在股票投资中，采用“自下而上”的策略，精选全球汽车产业升级主题相关上市公司进行投资布局，精心科学构建股票投资组合，并辅以严格的投资组合风险控制，以获得中长期的较高投资收益。本基金的投资策略还包括：个股精选策略、基金投资策略、债券投资策略、可转债及可交换债投资策略、资产支持证券投资策略、境外衍生品投资策略、境内衍生品投资策略、境内融资投资策略、汇率避险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恒生沪港深智能及电动车指数收益率（使用估值汇率折算）*40%+彭博全球电动汽车指数收益率（使用估值汇率折算）*40%+中债综合全价指数收益率*20%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本基金为主要投资于全球汽车产业升级主题相关上市公司的混合型基金，风险与预期收益水平低于股票型基金、高于债券型基金和货币市场基金。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本基金可投资于境外证券，除了需要承担与境内证券投资基金类似的市场波动风险等一般投资风险之外，本基金还面临汇率风险等境外证券市场投资所面临的特别投资风险。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宋体"/>
          <w:iCs/>
          <w:sz w:val="24"/>
          <w:szCs w:val="21"/>
        </w:rPr>
        <w:sectPr w:rsidSect="0087548F">
          <w:type w:val="continuous"/>
          <w:pgSz w:w="12240" w:h="15840"/>
          <w:pgMar w:top="1440" w:right="1800" w:bottom="1440" w:left="1800" w:header="720" w:footer="720" w:gutter="0"/>
          <w:cols w:space="720"/>
        </w:sectPr>
      </w:pPr>
      <w:r w:rsidRPr="00292ED2">
        <w:rPr>
          <w:rFonts w:ascii="宋体" w:eastAsia="宋体" w:hAnsi="宋体" w:cs="宋体"/>
          <w:iCs/>
          <w:sz w:val="24"/>
          <w:szCs w:val="21"/>
        </w:rPr>
        <w:drawing>
          <wp:inline>
            <wp:extent cx="5486400" cy="36576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486400" cy="3657600"/>
                    </a:xfrm>
                    <a:prstGeom prst="rect">
                      <a:avLst/>
                    </a:prstGeom>
                  </pic:spPr>
                </pic:pic>
              </a:graphicData>
            </a:graphic>
          </wp:inline>
        </w:drawing>
      </w: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48427529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827228" name=""/>
                    <pic:cNvPicPr>
                      <a:picLocks noChangeAspect="1"/>
                    </pic:cNvPicPr>
                  </pic:nvPicPr>
                  <pic:blipFill>
                    <a:blip xmlns:r="http://schemas.openxmlformats.org/officeDocument/2006/relationships" r:embed="rId6"/>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M&lt;20万元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非特定投资群体；单位为美元</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非特定投资群体；单位为美元</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200美元/笔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非特定投资群体；单位为美元</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对于通过本公司直销中心申购本基金美元份额的特定投资群体申购费率为每笔100美元；对于未通过本公司直销中心申购本基金美元份额的特定投资群体，申购费率参照非特定投资群体适用的美元份额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基金的证券交易费用及在境外市场的交易、清算、登记等实际发生的费用（out-of-pocket fees）；基金份额持有人大会费用；因投资港股通标的股票而产生的各项合理费用；《基金合同》生效后与基金相关的律师费、仲裁费和诉讼费；基金依照有关法律法规应当缴纳的，购买或处置证券有关的任何税收、征费、关税、印花税及预扣提税（以及与前述各项有关的任何利息及费用）；代表基金投票或其他与基金投资活动有关的费用；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2.26%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重点投资于全球汽车产业升级主题相关上市公司，包括境内市场和境外市场。基金净值会因为境内外证券市场波动等因素产生波动。本基金面临的风险主要包含投资风险、流动性风险、管理风险、操作风险、特有风险、税负增加风险、本基金法律文件风险收益特征表述与销售机构基金风险评价可能不一致的风险及不可抗力风险等。</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其中，特有风险包括：1、本基金股票资产占基金资产的比例为60%~95%；投资于全球汽车产业升级主题相关上市公司股票的资产占非现金基金资产的比例不低于80%。本基金投资于境外市场的资产占基金资产的比例不低于20%，本基金投资于境内市场的资产占基金资产的比例不低于20%。香港市场可通过合格境内机构投资者（QDII）境外投资额度和港股通机制进行投资。本基金对于全球汽车产业升级主题相关上市公司的定义和筛选标准的确定是基于上市公司过往历史数据及其他多方面因素，不预示其未来表现，因此最终能否带来收益具有较大不确定性。2、参与境内融资交易风险；3、通过港股通机制投资港股的风险；4、基金资产投资于科创板股票的风险；5、境内存托凭证投资风险；6、资产支持证券投资风险；7、启用侧袋机制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宋体"/>
          <w:b/>
          <w:bCs/>
          <w:iCs/>
          <w:color w:val="000000"/>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宋体"/>
          <w:b/>
          <w:bCs/>
          <w:iCs/>
          <w:color w:val="000000"/>
          <w:szCs w:val="21"/>
        </w:rPr>
        <w:t>其他情况说明</w:t>
      </w:r>
    </w:p>
    <w:p w:rsidR="00C723AC" w:rsidRPr="00C723AC" w:rsidP="00C723AC">
      <w:pPr>
        <w:spacing w:line="360" w:lineRule="auto"/>
        <w:ind w:firstLine="420" w:firstLineChars="200"/>
        <w:rPr>
          <w:rFonts w:ascii="宋体" w:eastAsia="宋体" w:hAnsi="宋体" w:cs="宋体"/>
          <w:iCs/>
          <w:color w:val="000000"/>
          <w:szCs w:val="21"/>
        </w:rPr>
      </w:pPr>
      <w:r w:rsidRPr="00C723AC">
        <w:rPr>
          <w:rFonts w:ascii="宋体" w:eastAsia="宋体" w:hAnsi="宋体" w:cs="宋体"/>
          <w:iCs/>
          <w:color w:val="000000"/>
          <w:szCs w:val="21"/>
        </w:rPr>
        <w:t>本次更新主要涉及“产品概况”“投资本基金涉及的费用”章节。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