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汇添富数字经济核心产业一年持有期混合型证券投资基金C类份额更新基金产品资料概要(2024年06月07日更新)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本基金以基本面分析为立足点，在科学严格管理风险的前提下，重点投资于数字经济核心产业相关上市公司，力争实现基金资产的中长期稳健增值。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核心产业相关上市公司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如法律法规或监管机构变更投资品种的投资比例限制，基金管理人在履行适当程序后，可以调整上述投资品种的投资比例。 </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数字经济核心产业中的优质上市公司。本基金的投资策略还包括债券投资策略、可转债及可交换债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中证文体指数收益率*20%+中证TMT产业主题指数收益率*20%+中证消费服务领先指数收益率*20%+恒生指数收益率(使用估值汇率折算)*20%+中债综合指数收益率*20%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296039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9380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账户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其中包括最短持有期限内不能赎回基金份额的风险）、特有风险、操作或技术风险、合规性风险、本基金法律文件风险收益特征表述与销售机构基金风险评价可能不一致的风险、启用侧袋机制的风险及其他风险等。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