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汇添富双盈回报一年持有期债券型证券投资基金C类份额更新基金产品资料概要(2024年06月07日更新)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汇添富双盈回报一年持有债券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004534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汇添富双盈回报一年持有债券C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004535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2022年10月11日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何彪</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2022年10月11日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2014年07月02日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本基金对于每份基金份额设置一年的最短持有期，在最短持有期内基金份额持有人不能提出赎回申请，最短持有期届满后可以提出赎回申请。以红利再投资方式取得的基金份额的持有到期时间与投资者原持有的基金份额最短持有期到期时间一致，因多笔认购/申购导致原持有基金份额最短持有期到期时间不一致的，分别计算。</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（2）最短持有期限是指自基金份额注册登记之日（对基金合同生效前已经持有的份额而言）或基金份额申购确认日（对基金合同生效后申购的份额而言）至该日一年后的年度对日的期间。</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（3）本基金为二级债基，投资于股票、股票型基金、偏股混合型基金等权益类资产及可交换债券和可转换债券的比例不超过基金资产的20%，在通常情况下本基金的预期风险水平高于纯债基金。</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（4）本基金投资于证券投资基金的比例不超过基金资产净值的10%。</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（5）本基金由汇添富年年益定期开放混合型证券投资基金于2022年10月11日转型而来。</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在保持资产流动性的基础上，通过积极主动的投资管理，追求基金资产的长期稳健增值。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允许上市的股票、存托凭证）、港股通标的股票、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国债期货、经中国证监会依法核准或注册的公开募集证券投资基金（以下简称“证券投资基金”，不可投资于QDII基金、香港互认基金、货币市场基金、基金中基金、其他可投资基金的基金、非同一基金管理人管理的基金（境内股票型ETF除外）、同一基金经理管理的其他基金；对于上市基金，本基金仅投资于境内股票型ETF；对于非上市基金，本基金仅投资于同一基金管理人旗下的股票型基金、偏股混合型基金）以及法律法规或中国证监会允许基金投资的其他金融工具（但须符合中国证监会相关规定）。本基金所指偏股混合型基金包含以下两类：第一类是在基金合同中约定投资于股票资产（含存托凭证）占基金资产的比例在60%以上的混合型证券投资基金；第二类是过去最近4个季度定期报告中披露的股票资产（含存托凭证）占基金资产的比例均在60%以上的混合型证券投资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投资于股票、股票型基金、偏股混合型基金等权益类资产及可交换债券和可转换债券的比例不超过基金资产的20%（其中投资于港股通标的股票的比例不超过股票资产的 50%）；投资于证券投资基金的比例不超过基金资产净值的10%；每个交易日日终在扣除国债期货合约需缴纳的交易保证金后，基金保留的现金或到期日在一年以内的政府债券的投资比例合计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稳健的投资策略，通过债券等固定收益类资产的投资力争平稳收益，并适度参与股票等权益类资产及基金的投资增强回报，在灵活配置各类资产以及严格的风险管理基础上，力争实现基金资产的持续稳定增值。本基金采取的投资策略主要包括资产配置策略、债券投资策略、股票投资策略、国债期货投资策略、基金投资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中债新综合财富（总值）指数收益率*85%+MSCI中国A50互联互通指数收益率*10%+金融机构人民币活期存款利率（税后）*5%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本基金为债券型基金，其预期风险及预期收益水平高于货币市场基金，低于混合型基金及股票型基金。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02711238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950400"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基金合同》生效后与基金相关的律师费、仲裁费和诉讼费、基金份额持有人大会费用、基金的证券/期货等交易结算费用、基金的银行汇划费用、基金的账户开户费用、账户维护费用、因投资港股通标的股票而产生的各项合理费用（包括证券组合费、交易征费、股份交收费、交易系统使用费、交易费等）、基金投资其他基金产生的其他基金的销售费用（但基金合同另有约定的除外）、按照国家有关规定和《基金合同》约定，可以在基金财产中列支的其他费用。2、本基金的管理费/托管费按前一日的基金资产净值扣除本基金所持有的本基金管理人自身管理/托管人自身托管的其他基金对应资产净值后余额计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1.17%</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对基金财产中持有的本基金管理人自身管理的基金部分不收取管理费、对基金财产中持有的本基金托管人自身托管的基金部分不收取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为债券型基金，本基金对债券资产的投资比例不低于基金资产的80%。本基金需要承担由于市场利率波动造成的利率风险以及信用债的发债主体信用恶化造成的信用风险。本基金为二级债基，投资于股票、股票型基金、偏股混合型基金等权益类资产及可交换债券和可转换债券的比例不超过基金资产的20%，在通常情况下本基金的预期风险水平高于纯债基金。本基金管理人将发挥专业研究优势，加强对市场、证券基本面的深入研究，持续优化组合配置，以控制特定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（2）本基金可投资国债期货、资产支持证券、流通受限证券、存托凭证、港股通标的股票、其他公开募集证券投资基金，因此本基金将面临投资上述投资标的的风险。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（3）本基金设置一年最短持有期，投资者面临在最短持有期到期日前将面临不能赎回的风险。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2022年9月1日汇添富年年益定期开放混合型证券投资基金以通讯方式召开基金份额持有人大会，会议审议通过了《关于汇添富年年益定期开放混合型证券投资基金转型的议案》。自2022年10月11日起，《汇添富双盈回报一年持有期债券型证券投资基金基金合同》生效，《汇添富年年益定期开放混合型证券投资基金基金合同》同日起失效。</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中国证监会对汇添富年年益定期开放混合型证券投资基金转型为本基金的注册，并不表明其对本基金的价值和收益作出实质性判断或保证，也不表明投资于本基金没有风险。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