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汇添富上证综合指数证券投资基金C类份额更新基金产品资料概要(2024年06月07日更新)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汇添富上证综合指数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470007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汇添富上证综合指数C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018536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2009年07月01日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吴振翔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2010年02月06日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2006年01月01日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本基金自2023年5月19日起增设C类基金份额。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抽样复制方法进行指数化投资，通过严格的投资纪律约束和数量化风险管理手段，力争控制本基金净值增长率与业绩比较基准之间的日平均跟踪误差小于0.35%，且年化跟踪误差小于6%，以实现对基准指数的有效跟踪。</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本基金的标的指数为上证综合指数。</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具有良好流动性的金融工具，主要包括上海证券交易所上市交易的所有股票、新股(如一级市场初次发行或增发)、存托凭证等，其中股票资产及存托凭证占基金资产的比例为90%-95%，现金或者到期日在一年以内的政府债券不低于基金资产净值的5%，本基金所指的现金不包括结算备付金、存出保证金、应收申购款等。投资于标的指数成份股的资产占基金资产的比例不低于80%(但因法律法规限制原因导致本基金不能投资相关股票而致使本基金不能达到上述比例的情形除外)。今后如果法律法规允许，本基金的股票及存托凭证投资比例可以提高到基金资产净值的100%。</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如以后法律法规及中国证监会允许基金投资其他金融工具，如股指期货、ETF等，本基金可以依照法律法规或监管机构的规定，将其纳入投资范围。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今后在有关法律法规许可时，本基金资产配置比例可作相应调整，股票资产及存托凭证投资比例可达到法律法规有关规定的限额。</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被动式指数基金，原则上采用抽样复制指数的投资策略，综合考虑个股的总市值规模、流动性、行业代表性及抽样组合与上证综合指数的相关性，主要选择上海证券交易所上市交易的部分股票构建基金股票投资组合，并根据优化模型确定投资组合中的个股权重，以实现基金净值增长率与业绩比较基准之间的日平均跟踪误差小于0.35%且年化跟踪误差小于6%的投资目标。当成份股发生分红、配股、增发等行为时，或因基金的申购和赎回等对本基金跟踪业绩比较基准的效果可能带来影响时，或因某些特殊情况导致流动性不足时，或因其他原因导致无法有效复制和跟踪基准指数时，基金管理人可以对投资组合管理进行适当变通和调整，最终使跟踪误差控制在限定的范围之内。本基金建仓时间为 3个月，3个月之后本基金投资组合比例达到《基金合同》的相关规定。本基金的投资策略主要包括：资产配置、抽样股票组合构建、股票组合调整、存托凭证的投资策略。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上证综合指数收益率*95%+银行活期存款利率(税后)*5%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本基金为股票型基金，属于证券投资基金中较高风险较高收益的品种。</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方正仿宋简体"/>
          <w:iCs/>
          <w:szCs w:val="21"/>
        </w:rPr>
      </w:pPr>
      <w:r>
        <w:rPr>
          <w:rFonts w:ascii="宋体" w:eastAsia="宋体" w:hAnsi="宋体" w:cs="方正仿宋简体"/>
          <w:iCs/>
          <w:szCs w:val="21"/>
        </w:rPr>
        <w:t>无</w:t>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0.75%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63000.00元/年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《基金合同》生效后与基金相关的律师费、基金份额持有人大会费用、证券交易费用、银行汇划费用等费用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宋体"/>
          <w:bCs/>
          <w:iCs/>
          <w:color w:val="000000"/>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1.32%</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宋体"/>
          <w:iCs/>
          <w:color w:val="000000"/>
          <w:szCs w:val="21"/>
        </w:rPr>
        <w:sectPr w:rsidSect="00580B2D">
          <w:type w:val="continuous"/>
          <w:pgSz w:w="12240" w:h="15840"/>
          <w:pgMar w:top="1440" w:right="1800" w:bottom="1440" w:left="1800" w:header="720" w:footer="720" w:gutter="0"/>
          <w:cols w:space="720"/>
        </w:sectPr>
      </w:pPr>
      <w:r w:rsidRPr="004118E0">
        <w:rPr>
          <w:rFonts w:ascii="宋体" w:eastAsia="宋体" w:hAnsi="宋体" w:cs="宋体"/>
          <w:iCs/>
          <w:color w:val="000000"/>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面临的风险包括：市场风险、管理风险、跟踪误差风险及跟踪误差未达约定目标的风险、标的指数变更的风险以及指数编制机构停止服务的风险、成份股停牌的风险、对上证综合指数进行跟踪特有的操作风险、巨额申购赎回所隐含的风险、流动性风险、合规性风险、其他风险、基金投资科创板股票的风险、存托凭证投资风险、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中国证监会对本基金募集的核准，并不表明其对本基金的价值和收益作出实质性判断或保证，也不表明投资于本基金没有风险。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宋体"/>
          <w:b/>
          <w:bCs/>
          <w:iCs/>
          <w:color w:val="000000"/>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宋体"/>
          <w:b/>
          <w:bCs/>
          <w:iCs/>
          <w:color w:val="000000"/>
          <w:szCs w:val="21"/>
        </w:rPr>
        <w:t>其他情况说明</w:t>
      </w:r>
    </w:p>
    <w:p w:rsidR="00C723AC" w:rsidRPr="00C723AC" w:rsidP="00C723AC">
      <w:pPr>
        <w:spacing w:line="360" w:lineRule="auto"/>
        <w:ind w:firstLine="420" w:firstLineChars="200"/>
        <w:rPr>
          <w:rFonts w:ascii="宋体" w:eastAsia="宋体" w:hAnsi="宋体" w:cs="宋体"/>
          <w:iCs/>
          <w:color w:val="000000"/>
          <w:szCs w:val="21"/>
        </w:rPr>
      </w:pPr>
      <w:r w:rsidRPr="00C723AC">
        <w:rPr>
          <w:rFonts w:ascii="宋体" w:eastAsia="宋体" w:hAnsi="宋体" w:cs="宋体"/>
          <w:iCs/>
          <w:color w:val="000000"/>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