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汇添富碳中和主题混合型证券投资基金A类份额更新基金产品资料概要(2024年06月07日更新)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汇添富碳中和主题混合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013147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汇添富碳中和主题混合A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013147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2009年09月09日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刘昇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2016年08月27日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本基金在科学严格管理风险的前提下，重点投资于碳中和主题相关上市公司，力争实现基金资产的中长期稳健增值。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的碳中和主题股票资产比例不低于非现金基金资产的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与碳中和主题相关的优质上市公司。本基金的投资策略包括：资产配置策略、个股精选策略、债券投资策略、资产支持证券投资策略、股指期货投资策略、股票期权投资策略、融资投资策略、国债期货投资策略、可转债及可交换债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中证内地低碳经济主题指数收益率*70%+中债综合指数收益率*30%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901255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9153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通过直销中心申购本基金A类基金份额的特定投资群体申购费率为每笔 500元。未通过直销中心申购本基金A类基金份额的特定投资群体，申购费率参照非特定投资群体适用的A类基金份额申购费率执行。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注：本基金已成立，投资本基金不涉及认购费。1个月按30天计算。</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以及其他风险。其中特有风险包括：1、股指期货投资风险；2、股票期权投资风险；3、国债期货投资风险；4、参与融资交易风险；5、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