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汇添富全球汽车产业升级混合型证券投资基金（QDII）美元现钞份额更新基金产品资料概要(2024年06月07日更新)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汇添富全球汽车产业升级混合(QDII)美元现钞</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016201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美元</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本基金在严格控制组合风险的前提下，以基本面分析为立足点，重点投资于全球汽车产业升级主题相关上市公司，力争实现基金资产的长期稳健增值。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本基金根据法律法规相关规定可以进行境外证券借贷交易、境外正回购交易、逆回购交易。有关证券借贷交易的内容以专门签署的三方或多方协议约定为准。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为对冲外币的汇率风险，本基金根据法律法规相关规定可以投资于境外外汇远期合约、结构性外汇远期合约、外汇期权及外汇期权组合、外汇互换协议、与汇率挂钩的结构性投资产品等金融工具。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含创业板及其他经中国证监会允许上市的股票、存托凭证）、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同业存单、货币市场工具、衍生工具（包括股指期货、国债期货、股票期权）以及法律法规或中国证监会允许基金投资的其他金融工具（但须符合中国证监会相关规定）。本基金还可根据法律法规的规定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60%~95%；投资于全球汽车产业升级主题相关上市公司股票的资产占非现金基金资产的比例不低于80%。每个交易日日终在扣除股指期货、国债期货和股票期权合约需缴纳的交易保证金后，应当保持不低于基金资产净值5％的现金或者到期日在一年以内的政府债券，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本基金投资于境外市场的资产占基金资产的比例不低于20%，本基金投资于境内市场的资产占基金资产的比例不低于20%。香港市场可通过合格境内机构投资者（QDII）境外投资额度和港股通机制进行投资。</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和股票投资策略。在资产配置中，根据宏观经济和证券市场状况，通过分析股票市场、固定收益产品及货币市场工具等的预期风险收益特征，确定投资组合的投资范围和比例。在股票投资中，采用“自下而上”的策略，精选全球汽车产业升级主题相关上市公司进行投资布局，精心科学构建股票投资组合，并辅以严格的投资组合风险控制，以获得中长期的较高投资收益。本基金的投资策略还包括：个股精选策略、基金投资策略、债券投资策略、可转债及可交换债投资策略、资产支持证券投资策略、境外衍生品投资策略、境内衍生品投资策略、境内融资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恒生沪港深智能及电动车指数收益率（使用估值汇率折算）*40%+彭博全球电动汽车指数收益率（使用估值汇率折算）*40%+中债综合全价指数收益率*20%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本基金为主要投资于全球汽车产业升级主题相关上市公司的混合型基金，风险与预期收益水平低于股票型基金、高于债券型基金和货币市场基金。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8137937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659785"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M&lt;20万元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200美元/笔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非特定投资群体；单位为美元</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美元份额的特定投资群体申购费率为每笔100美元；对于未通过本公司直销中心申购本基金美元份额的特定投资群体，申购费率参照非特定投资群体适用的美元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基金的证券交易费用及在境外市场的交易、清算、登记等实际发生的费用（out-of-pocket fees）；基金份额持有人大会费用；因投资港股通标的股票而产生的各项合理费用；《基金合同》生效后与基金相关的律师费、仲裁费和诉讼费；基金依照有关法律法规应当缴纳的，购买或处置证券有关的任何税收、征费、关税、印花税及预扣提税（以及与前述各项有关的任何利息及费用）；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重点投资于全球汽车产业升级主题相关上市公司，包括境内市场和境外市场。基金净值会因为境内外证券市场波动等因素产生波动。本基金面临的风险主要包含投资风险、流动性风险、管理风险、操作风险、特有风险、税负增加风险、本基金法律文件风险收益特征表述与销售机构基金风险评价可能不一致的风险及不可抗力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其中，特有风险包括：1、本基金股票资产占基金资产的比例为60%~95%；投资于全球汽车产业升级主题相关上市公司股票的资产占非现金基金资产的比例不低于80%。本基金投资于境外市场的资产占基金资产的比例不低于20%，本基金投资于境内市场的资产占基金资产的比例不低于20%。香港市场可通过合格境内机构投资者（QDII）境外投资额度和港股通机制进行投资。本基金对于全球汽车产业升级主题相关上市公司的定义和筛选标准的确定是基于上市公司过往历史数据及其他多方面因素，不预示其未来表现，因此最终能否带来收益具有较大不确定性。2、参与境内融资交易风险；3、通过港股通机制投资港股的风险；4、基金资产投资于科创板股票的风险；5、境内存托凭证投资风险；6、资产支持证券投资风险；7、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