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汇添富全球医疗保健混合型证券投资基金美元现钞份额更新基金产品资料概要(2024年06月07日更新)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汇添富全球医疗混合(QDII)美元现钞</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004879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2017年08月16日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张韡</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2023年11月23日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2014年03月25日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本基金采用自下而上的方法，精选全球医疗保健行业相关公司的股票进行投资布局，在科学严格管理风险的前提下，谋求基金资产的中长期稳健增值。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 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等固定收益类资产以及现金；法律法规或中国证监会允许基金投资的其他金融工具(但须符合中国证监会相关规定)。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 境外正回购交易、逆回购交易、境内融资交易。 有关证券借贷交易的内容以专门签署的三方或多方协议约定为准。如法律法规或监管机构以后允许基金投资其他品种，基金管理人在履行适当程序后，可以将其纳入投资范围。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60%-95%。本基金以全球医疗保健行业相关公司股票及存托凭证为主要投资对象，投资于全球医疗保健行业相关公司股票及存托凭证的资产占非现金基金资产的比例不低于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 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出全球医疗保健主题相关公司中商业模式清晰、竞争优势明显、具有长期持续增长模式且估值水平相对合理的上市公司，精心科学构建股票投资组合，并辅以严格的投资组合风险控制，以获得中长期的较高投资收益。本基金投资策略的重点是精选股票策略。本基金的投资策略还包括：基金投资策略、固定收益率资产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标普全球1200医疗保健指数收益率×50%+恒生香港上巿生物科技指数收益率×20%+中证医药卫生指数收益率×20%+一年期人民币定期存款利率(税后) ×10%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本基金为主要投资于全球医疗保健行业相关公司股票的混合型基金，属于证券投资基金中高预期风险高预期收益的品种，其预期风险与预期收益低于股票型基金、高于债券型基金和货币市场基金。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669396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80472"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医疗保健行业的股票，基金净值会因为全球医疗保健市场波动等因素产生波动。本基金还可能面临启用侧袋机制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不可抗力风险；14、境内存托凭证投资风险；15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