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汇添富双盈回报一年持有期债券型证券投资基金A类份额更新基金产品资料概要(2024年06月07日更新)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汇添富双盈回报一年持有债券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004534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汇添富双盈回报一年持有债券A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004534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对于每份基金份额设置一年的最短持有期，在最短持有期内基金份额持有人不能提出赎回申请，最短持有期届满后可以提出赎回申请。以红利再投资方式取得的基金份额的持有到期时间与投资者原持有的基金份额最短持有期到期时间一致，因多笔认购/申购导致原持有基金份额最短持有期到期时间不一致的，分别计算。</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（2）最短持有期限是指自基金份额注册登记之日（对基金合同生效前已经持有的份额而言）或基金份额申购确认日（对基金合同生效后申购的份额而言）至该日一年后的年度对日的期间。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（3）本基金为二级债基，投资于股票、股票型基金、偏股混合型基金等权益类资产及可交换债券和可转换债券的比例不超过基金资产的20%，在通常情况下本基金的预期风险水平高于纯债基金。</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（4）本基金投资于证券投资基金的比例不超过基金资产净值的10%。</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（5）本基金由汇添富年年益定期开放混合型证券投资基金于2022年10月11日转型而来。</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在保持资产流动性的基础上，通过积极主动的投资管理，追求基金资产的长期稳健增值。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经中国证监会依法核准或注册的公开募集证券投资基金（以下简称“证券投资基金”，不可投资于QDII基金、香港互认基金、货币市场基金、基金中基金、其他可投资基金的基金、非同一基金管理人管理的基金（境内股票型ETF除外）、同一基金经理管理的其他基金；对于上市基金，本基金仅投资于境内股票型ETF；对于非上市基金，本基金仅投资于同一基金管理人旗下的股票型基金、偏股混合型基金）以及法律法规或中国证监会允许基金投资的其他金融工具（但须符合中国证监会相关规定）。本基金所指偏股混合型基金包含以下两类：第一类是在基金合同中约定投资于股票资产（含存托凭证）占基金资产的比例在60%以上的混合型证券投资基金；第二类是过去最近4个季度定期报告中披露的股票资产（含存托凭证）占基金资产的比例均在60%以上的混合型证券投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投资于股票、股票型基金、偏股混合型基金等权益类资产及可交换债券和可转换债券的比例不超过基金资产的20%（其中投资于港股通标的股票的比例不超过股票资产的 50%）；投资于证券投资基金的比例不超过基金资产净值的10%；每个交易日日终在扣除国债期货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稳健的投资策略，通过债券等固定收益类资产的投资力争平稳收益，并适度参与股票等权益类资产及基金的投资增强回报，在灵活配置各类资产以及严格的风险管理基础上，力争实现基金资产的持续稳定增值。本基金采取的投资策略主要包括资产配置策略、债券投资策略、股票投资策略、国债期货投资策略、基金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中债新综合财富（总值）指数收益率*85%+MSCI中国A50互联互通指数收益率*10%+金融机构人民币活期存款利率（税后）*5%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055086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9846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通过本公司直销中心申购本基金A类基金份额的特定投资群体申购费用为每笔500元。未通过本公司直销中心申购本基金A类基金份额的特定投资群体参照上表非特定投资群体适用的A类基金份额申购费率。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期货等交易结算费用、基金的银行汇划费用、基金的账户开户费用、账户维护费用、因投资港股通标的股票而产生的各项合理费用（包括证券组合费、交易征费、股份交收费、交易系统使用费、交易费等）、基金投资其他基金产生的其他基金的销售费用（但基金合同另有约定的除外）、按照国家有关规定和《基金合同》约定，可以在基金财产中列支的其他费用。2、本基金的管理费/托管费按前一日的基金资产净值扣除本基金所持有的本基金管理人自身管理/托管人自身托管的其他基金对应资产净值后余额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本基金为二级债基，投资于股票、股票型基金、偏股混合型基金等权益类资产及可交换债券和可转换债券的比例不超过基金资产的20%，在通常情况下本基金的预期风险水平高于纯债基金。本基金管理人将发挥专业研究优势，加强对市场、证券基本面的深入研究，持续优化组合配置，以控制特定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（2）本基金可投资国债期货、资产支持证券、流通受限证券、存托凭证、港股通标的股票、其他公开募集证券投资基金，因此本基金将面临投资上述投资标的的风险。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（3）本基金设置一年最短持有期，投资者面临在最短持有期到期日前将面临不能赎回的风险。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2022年9月1日汇添富年年益定期开放混合型证券投资基金以通讯方式召开基金份额持有人大会，会议审议通过了《关于汇添富年年益定期开放混合型证券投资基金转型的议案》。自2022年10月11日起，《汇添富双盈回报一年持有期债券型证券投资基金基金合同》生效，《汇添富年年益定期开放混合型证券投资基金基金合同》同日起失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中国证监会对汇添富年年益定期开放混合型证券投资基金转型为本基金的注册，并不表明其对本基金的价值和收益作出实质性判断或保证，也不表明投资于本基金没有风险。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