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汇添富数字经济核心产业一年持有期混合型证券投资基金D类份额更新基金产品资料概要(2024年06月07日更新)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本基金以基本面分析为立足点，在科学严格管理风险的前提下，重点投资于数字经济核心产业相关上市公司，力争实现基金资产的中长期稳健增值。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数字经济核心产业相关上市公司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如法律法规或监管机构变更投资品种的投资比例限制，基金管理人在履行适当程序后，可以调整上述投资品种的投资比例。 </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数字经济核心产业中的优质上市公司。本基金的投资策略还包括债券投资策略、可转债及可交换债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中证文体指数收益率*20%+中证TMT产业主题指数收益率*20%+中证消费服务领先指数收益率*20%+恒生指数收益率(使用估值汇率折算)*20%+中债综合指数收益率*20%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6459206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7814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账户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其中包括最短持有期限内不能赎回基金份额的风险）、特有风险、操作或技术风险、合规性风险、本基金法律文件风险收益特征表述与销售机构基金风险评价可能不一致的风险、启用侧袋机制的风险及其他风险等。其中特有风险包括：1、股指期货投资风险；2、股票期权投资风险；3、国债期货投资风险；4、参与融资交易风险；5、投资港股通标的股票的风险；6、资产支持证券投资风险；7、流通受限证券投资风险；8、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