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汇添富全球消费行业混合型证券投资基金人民币A类份额更新基金产品资料概要(2024年06月07日更新)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汇添富全球消费混合(QDII)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006308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汇添富全球消费混合(QDII)人民币A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006308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北美信托银行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2018年09月21日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郑慧莲</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2018年09月21日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本基金采用自下而上的投资方法，以基本面分析为立足点，在科学严格管理风险的前提下，精选全球消费行业相关优质公司的股票进行投资布局，为基金份额持有人谋求基金资产的中长期稳健增值。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针对境外投资，本基金可投资于下列金融产品或工具：在已与中国证监会签署双边监管合作谅解备忘录的国家或地区证券监管机构登记注册的公募基金（以下无特别说明，均包括exchange traded fund, ETF）；已与中国证监会签署双边监管合作谅解备忘录的国家或地区证券市场挂牌交易的普通股（包括港股通机制下允许买卖的规定范围内的香港联合交易所上市的股票）、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包含中小板、创业板、其他依法上市的股票），存托凭证、衍生工具（股指期货、权证、国债期货、股票期权等），债券（国债、金融债、企业（公司）债、次级债、可交换债券、可转换债券（含分离交易可转债）、中小企业私募债券、央行票据、中期票据、短期融资券（含超短期融资券）等）、资产支持证券、债券回购、银行存款、同业存单、货币市场工具等资产以及法律法规或中国证监会允许基金投资的其他金融工具（但须符合中国证监会相关规定）。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本基金为对冲外币的汇率风险，可以投资于外汇远期合约、结构性外汇远期合约、外汇期权及外汇期权组合、外汇互换协议、与汇率挂钩的结构性投资产品等金融工具。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本基金可以进行境外证券借贷交易、境外正回购交易、逆回购交易、境内融资交易。有关证券借贷交易的内容以专门签署的三方或多方协议约定为准。</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基金的投资组合比例为：股票及存托凭证投资占基金资产的比例为 60%-95%。本基金以全球消费行业相关公司股票及存托凭证为主要投资对象，投资于全球消费行业相关公司股票及存托凭证的资产占非现金基金资产的比例不低于 80%。现金或者到期日在一年以内的政府债券投资比例合计不低于基金资产净值的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本基金投资于全球市场，包括境内市场和境外市场，其中主要境外市场有：美国、欧洲、日本、香港和加拿大等国家或地区。投资各个市场股票及其他权益类证券市值占基金资产的比例上限均为 95%。</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香港市场可通过合格境内机构投资者(QDII)境外投资额度和港股通机制进行投资，投资于港股通标的股票的比例占基金资产的 0%-95%。</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稳健的资产配置和积极的股票投资策略。在资产配置中，根据宏观经济和证券市场状况，通过分析股票市场、固定收益产品及货币市场工具等的预期风险收益特征，确定投资组合的投资范围和比例。在股票投资中，采用“自下而上”的策略，精选全球消费行业相关优质公司的股票进行投资布局，精心科学构建股票投资组合，并辅以严格的投资组合风险控制，以获得中长期的较高投资收益。本基金投资策略的重点是精选股票策略。本基金的投资策略主要包括：资产配置策略、个股精选策略、基金投资策略、固定收益类资产投资策略、中小企业私募债券投资策略、资产支持证券投资策略、衍生品投资策略、汇率避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明晟全球可选消费指数收益率×30%+明晟全球主要消费指数收益率×20%+恒生新消费指数收益率×20%+中证内地消费主题指数收益率×20%+中债-综合财富(总值)指数收益率×10%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本基金为主要投资于全球范围内的消费行业相关优质上市公司股票的混合型基金，风险与预期收益水平低于股票型基金、高于债券型基金和货币市场基金。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本基金可投资于境外证券，除了需要承担与境内证券投资基金类似的市场波动风险等一般投资风险之外，本基金还面临汇率风险等境外证券市场投资所面临的特别投资风险。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2315054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806285" name=""/>
                    <pic:cNvPicPr>
                      <a:picLocks noChangeAspect="1"/>
                    </pic:cNvPicPr>
                  </pic:nvPicPr>
                  <pic:blipFill>
                    <a:blip xmlns:r="http://schemas.openxmlformats.org/officeDocument/2006/relationships" r:embed="rId6"/>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《基金合同》生效后与基金相关的律师费、诉讼费；基金的证券交易费用及在境外市场的交易、清算、登记等实际发生的费用（out-of-pocket fees）；基金份额持有人大会费用；因投资港股通标的股票而产生的各项合理费用；基金依照有关法律法规应当缴纳的，购买或处置证券有关的任何税收、征费、关税、印花税及预扣提税（以及与前述各项有关的任何利息及费用）（简称“税收”）；代表基金投票或其他与基金投资活动有关的费用；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2.17%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主要投资于全球消费行业的股票，基金净值会因为全球消费行业市场波动等因素产生波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一、投资产品风险：1、市场风险；2、汇率风险；3、政治风险。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二、开放式基金风险：1、流动性风险；2、利率风险；3、信用风险；4、操作风险；5、交易结算风险；6、会计核算风险；7、税务风险；8、法律风险；9、正回购/逆回购风险；10、证券借贷风险；11、衍生品投资风险；12、大宗交易风险；13、通过港股通机制投资港股的风险；14、基金资产投资于科创板股票，会面临科创板机制下因投资标的、市场制度以及交易规则等差异带来的特有风险，包括但不限于市场风险、流动性风险、科创板企业退市风险、政策风险等。基金可根据投资策略需要或市场环境的变化，选择将部分基金资产投资于科创板股票或选择不将基金资产投资于科创板股票，基金资产并非必然投资于科创板股票；15、税负增加风险；16、不可抗力风险；17、境内存托凭证投资风险：本基金可投资境内存托凭证，除普通境内股票投资可能面临的宏观经济风险、政策风险、市场风险、流动性风险外，投资境内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18、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