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汇添富纳斯达克生物科技交易型开放式指数证券投资基金（QDII）更新基金产品资料概要(2024年06月07日更新)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汇添富纳斯达克生物科技ETF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513290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布朗兄弟哈里曼银行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2022年08月15日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过蓓蓓</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2022年08月15日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2011年12月19日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1、本基金的场内简称：纳指生物；扩位证券简称：纳指生物科技ETF；认购代码：513293。</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若因相关原因使本基金不再具备上市条件而被上海证券交易所终止上市的，本基金可由交易型开放式基金变更为跟踪标的指数的非上市的开放式指数基金，而无需召开基金份额持有人大会审议。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本基金的标的指数为纳斯达克生物科技指数及其未来可能发生的变更。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本基金投资于标的指数的成份股、备选成份股。此外，本基金还可投资于以下金融产品或工具：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其中，对于非成份股、备选成份股的投资部分，本基金若投资于香港市场的，可通过合格境内机构投资者（QDII）境外投资额度或内地与香港股票市场交易互联互通机制进行投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股指期货，国债期货，股票期权等，债券（国债、金融债、企业（公司）债、次级债、可交换债券、可转换债券（含分离交易可转债）、央行票据、中期票据、短期融资券（含超短期融资券））、资产支持证券、债券回购、银行存款、同业存单、货币市场工具等资产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的投资策略主要包括：资产配置策略、债券投资策略、资产支持证券投资策略、金融衍生工具投资策略、参与境内融资投资策略、参与境内转融通证券出借业务策略、境内外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经人民币汇率调整的纳斯达克生物科技指数收益率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53663406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359325"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及在境外市场的交易、清算、登记等实际发生的费用、基金的上市费、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代理申赎投资者买券卖券的风险；12、申购赎回清单差错风险；13、第三方机构服务的风险；14、基金投资资产支持证券的风险；15、金融衍生品投资风险；16、基金参与境内融资与转融通证券出借业务的风险；17、本基金可以投资港股的风险；18、存托凭证投资风险；19、正回购/逆回购风险；20、境外证券借贷风险；21、基金收益分配后基金份额净值低于面值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