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汇添富年年利定期开放债券型证券投资基金A类份额更新基金产品资料概要(2024年06月07日更新)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汇添富年年利定期开放债券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000221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汇添富年年利定期开放债券A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000221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2013年09月06日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定期开放式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本基金以1年为一个运作周期，在每个运作周期结束后进入自由开放期。本基金的受限开放期为该运作周期首日次6个月的月度对日。本基金的每个受限开放期为1个工作日。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2018年09月28日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2012年12月03日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在追求本金安全的基础上，本基金力争创造超越业绩比较基准的长期稳健收益。</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固定收益类金融工具，包括国债、金融债、央行票据、公司债、企业债、地方政府债、可转换债券、可分离债券、短期融资券、中期票据、私募债券、资产支持证券、债券回购、银行存款(包括定期存款及协议存款)，以及法律法规或中国证监会允许投资的其他固定收益类品种。本基金不直接从二级市场上买入股票和权证，也不参与一级市场新股申购。因持有可转换债券转股所得的股票、因所持股票派发的权证以及因投资可分离债券而产生的权证，应当在其可上市交易后的10个交易日内卖出。</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在每个受限开放期的前10个工作日和后10个工作日、自由开放期的前3个月和后3个月以及开放期期间不受前述投资组合比例的限制。本基金在封闭期内持有现金或者到期日在一年以内的政府债券占基金资产净值的比例不受限制，但在开放期持有的现金或到期日在一年以内的政府债券不低于基金资产净值的5%。</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可转债投资策略等。在谨慎投资的基础上，力争实现组合的稳健增值。本基金的投资策略还包括：普通债券投资策略、私募债券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银行一年期定期存款利率(税后)+1.2%</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本基金为债券型基金，属于证券投资基金中较低预期风险、较低预期收益的品种，其预期风险及预期收益水平高于货币市场基金，低于混合型基金及股票型基金。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6420924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43606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自由开放期</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自由开放期</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本基金A类份额受限开放期赎回费率为0.1%</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0.3%</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63000.00元/年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《基金合同》生效后与基金相关的律师费/诉讼费、基金份额持有人大会费用、证券交易费用、银行汇划费用等费用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本基金面临的风险包括：市场风险、管理风险、流动性风险、特有风险、操作或技术风险、合规性风险、其他风险、启用侧袋机制的风险。其中，特有风险包括：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1、债券投资风险。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2、中小企业私募债投资风险。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4、启用侧袋机制的风险。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