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汇添富开放视野中国优势六个月持有期股票型证券投资基金A类份额更新基金产品资料概要(2024年06月07日更新)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汇添富开放视野中国优势六个月持有股票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009550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汇添富开放视野中国优势六个月持有股票A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009550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本基金对每份基金份额设置六个月的最短持有期限</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劳杰男</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本基金以我国资本市场对外开放的机遇为背景，在严格控制组合风险的前提下，基于深入的企业基本面分析，在MSCI中国A股指数成份股中精选代表中国核心优势的证券，以期获得超越业绩比较基准的收益。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中小板，创业板及其他经中国证监会核准或注册上市的股票)，存托凭证，债券(包括国债，央行票据，金融债券，企业债券，公司债券，中期票据，短期融资券，超短期融资券，次级债券，政府支持债券，地方政府债券，可交换债券，可转换债券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比例不低于80%。每个交易日日终本基金保留的现金或投资于到期日在一年以内的政府债券的比例合计不低于基金资产净值的5%，其中现金不包括结算备付金，存出保证金，应收申购款等。本基金的投资重点是本基金所界定的开放视野中国优势主题的股票及存托凭证，该部分投资比例不低于非现金基金资产的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投资策略主要包括资产配置策略和股票投资策略。此外，本基金的投资策略还包括：债券投资策略、可转换债券及可交换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MSCI中国A股指数收益率*80%+中债综合全价指数收益率*20%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086812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1427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《基金合同》生效后与基金相关的律师费、诉讼费和仲裁费、基金份额持有人大会费用、证券/期货交易费用、银行汇划费用、账户开户费用和维护费用等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其中特有风险指如下几点：（1）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2）股票期权的风险主要包括市场风险、管理风险、流动性风险、操作风险等，这些风险可能会给基金净值带来一定的负面影响和损失。（3）国债期货的投资可能面临市场风险、基差风险、流动性风险。市场风险是因期货市场价格波动使所持有的期货合约价值发生变化的风险。（4）本基金可参与融资交易，融资交易的风险主要包括流动性风险、信用风险等，这些风险可能会给基金净值带来一定的负面影响和损失。（5）本基金可投资资产支持证券，资产支持证券在国内市场尚处发展初期，具有低流动性、高收益的特征，并存在一定的投资风险。（6）本基金可投资流通受限证券，按监管机构或行业协会有关规定确定公允价值，本基金的基金净值可能由于估值方法的原因偏离所持有证券的收盘价所对应的净值。另外，本基金可能由于投资流通受限证券而面临流动性风险以及流通受限期间内证券价格大幅下跌的风险。（7）本基金对于每份基金份额设置六个月的最短持有期，在最短持有期内基金份额持有人不能提出赎回申请，最短持有期届满后方可提出赎回申请。故投资者在最短持有期届满前，还将面临无法赎回的流动性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