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汇添富民营新动力股票型证券投资基金更新基金产品资料概要(2024年06月07日更新)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汇添富民营新动力股票</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001541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2015年08月07日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卞正</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2022年02月21日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2016年07月07日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本基金采用自下而上的方法，精选与中国经济发展密切相关的优秀民营企业上市公司股票进行投资布局，在科学严格管理风险的前提下，力求基金资产的中长期增值。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包含中小板、创业板及其他经中国证监会核准上市的股票）、存托凭证、股票期权、债券、货币市场工具、股指期货、权证、资产支持证券、银行存款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及存托凭证投资不低于基金资产的80%，投资于民营企业上市公司股票及存托凭证的资产占非现金基金资产的比例不低于80%；基金持有全部权证的市值不得超过基金资产净值的3%；每个交易日日终在扣除股指期货合约需缴纳的保证金以后，基金保留的现金或投资于到期日在一年以内的政府债券的比例合计不低于基金资产净值的5%，本基金所指的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基金为股票型基金。投资策略主要包括资产配置策略和个股精选策略。其中，资产配置策略用于确定大类资产配置比例以有效规避系统性风险；个股精选策略用于成长性较高且估值有吸引力的优秀民营企业上市公司以获取超额收益。本基金的投资策略还包括：债券投资策略、资产支持证券投资策略、股指期货投资策略、股票期权投资策略、权证投资策略、融资融券及转融通投资策略、存托凭证投资策略。 </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中证民营企业综合指数*80%+中债综合指数*20%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本基金为股票型基金，其预期风险和预期收益高于货币市场基金、债券型基金、混合型基金，属于证券投资基金中较高预期风险、较高预期收益的基金产品。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68752234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906451"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《基金合同》生效后与基金相关的律师费/诉讼费、基金份额持有人大会费用、证券交易费用、银行汇划费用等费用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1.43%</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其他风险（包括战争、自然灾害等不可抗因素，以及金融市场危机、行业竞争、代理商违约、托管行违约等超出基金管理人自身直接控制能力之外的风险）、科创板股票投资风险、存托凭证投资风险。其中特有风险指的是：</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本基金属于股票型基金，通过自下而上的个股和债券精选进行投资，对基金管理人的投资能力要求较高，如果基金管理人个股或个券选择失误，投资人需要承担相应的风险。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本基金使用股指期货作为风险对冲工具，股指期货交易采用保证金交易制度，由于保证金交易具有杠杆性，存在潜在损失可能成倍放大的风险。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本基金还可能面临启用侧袋机制的风险。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本基金的争议解决处理方式为仲裁。具体仲裁机构和仲裁地点详见本基金合同的具体约定。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