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汇添富开放视野中国优势六个月持有期股票型证券投资基金C类份额更新基金产品资料概要(2024年06月07日更新)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汇添富开放视野中国优势六个月持有股票</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009550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汇添富开放视野中国优势六个月持有股票C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009551</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2020年07月22日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本基金对每份基金份额设置六个月的最短持有期限</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劳杰男</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2020年07月22日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本基金以我国资本市场对外开放的机遇为背景，在严格控制组合风险的前提下，基于深入的企业基本面分析，在MSCI中国A股指数成份股中精选代表中国核心优势的证券，以期获得超越业绩比较基准的收益。</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主板，中小板，创业板及其他经中国证监会核准或注册上市的股票)，存托凭证，债券(包括国债，央行票据，金融债券，企业债券，公司债券，中期票据，短期融资券，超短期融资券，次级债券，政府支持债券，地方政府债券，可交换债券，可转换债券及其他经中国证监会允许投资的债券)，资产支持证券，债券回购，同业存单，银行存款(包括协议存款，定期存款及其他银行存款)，货币市场工具，股指期货，股票期权，国债期货以及法律法规或中国证监会允许基金投资的其他金融工具(但须符合中国证监会相关规定)。本基金还可根据法律法规参与融资。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及存托凭证投资占基金资产的比例不低于80%。每个交易日日终本基金保留的现金或投资于到期日在一年以内的政府债券的比例合计不低于基金资产净值的5%，其中现金不包括结算备付金，存出保证金，应收申购款等。本基金的投资重点是本基金所界定的开放视野中国优势主题的股票及存托凭证，该部分投资比例不低于非现金基金资产的80%。</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基金。投资策略主要包括资产配置策略和股票投资策略。此外，本基金的投资策略还包括：债券投资策略、可转换债券及可交换债券投资策略、资产支持证券投资策略、股指期货投资策略、股票期权投资策略、融资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MSCI中国A股指数收益率*80%+中债综合全价指数收益率*20%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本基金为股票型基金，其预期风险收益水平高于混合型基金、债券型基金及货币市场基金。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87238739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530659"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本基金C类基金份额不收取赎回费用。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0.8%</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90000.00元/年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《基金合同》生效后与基金相关的律师费、诉讼费和仲裁费、基金份额持有人大会费用、证券/期货交易费用、银行汇划费用、账户开户费用和维护费用等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2.21%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本基金的风险包括：市场风险、管理风险、流动性风险、特有风险、操作或技术风险、合规性风险、本基金法律文件风险收益特征表述与销售机构基金风险评价可能不一致的风险、其他风险。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其中特有风险指如下几点：（1）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2）股票期权的风险主要包括市场风险、管理风险、流动性风险、操作风险等，这些风险可能会给基金净值带来一定的负面影响和损失。（3）国债期货的投资可能面临市场风险、基差风险、流动性风险。市场风险是因期货市场价格波动使所持有的期货合约价值发生变化的风险。（4）本基金可参与融资交易，融资交易的风险主要包括流动性风险、信用风险等，这些风险可能会给基金净值带来一定的负面影响和损失。（5）本基金可投资资产支持证券，资产支持证券在国内市场尚处发展初期，具有低流动性、高收益的特征，并存在一定的投资风险。（6）本基金可投资流通受限证券，按监管机构或行业协会有关规定确定公允价值，本基金的基金净值可能由于估值方法的原因偏离所持有证券的收盘价所对应的净值。另外，本基金可能由于投资流通受限证券而面临流动性风险以及流通受限期间内证券价格大幅下跌的风险。（7）本基金对于每份基金份额设置六个月的最短持有期，在最短持有期内基金份额持有人不能提出赎回申请，最短持有期届满后方可提出赎回申请。故投资者在最短持有期届满前，还将面临无法赎回的流动性风险。（8）存托凭证投资风险。（9）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