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汇添富科创板2年定期开放混合型证券投资基金更新基金产品资料概要(2024年06月07日更新)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汇添富科创板2年定开混合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506006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2021年01月28日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定期开放式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2年定期开放</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马翔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夏正安</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2022年10月17日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1、场内简称：添富科创；扩位证券简称：汇添富科创板。</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2、本基金自2024年3月13日变更业绩比较基准。</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本基金采用自下而上的投资方法，以基本面分析为立足点，在科学严格管理风险的前提下，重点投资于科创板上市的优质公司，谋求基金资产的中长期稳健增值。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国内依法发行上市的股票（含中小板、创业板、科创板及其他经中国证监会允许上市的股票）、存托凭证、港股通标的股票、债券（包括国债、央行票据、金融债券、企业债券、公司债券、中期票据、短期融资券、超短期融资券、次级债券、政府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封闭期内，本基金投资于股票资产及存托凭证占基金资产的比例不低于60%。本基金投资于科创板的股票资产及存托凭证占非现金基金资产的比例不低于80%，投资于港股通标的股票占股票资产的比例为0-20%。每次开放期开始前一个月、开放期及开放期结束后一个月的期间内，本基金投资不受上述比例限制。</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开放期内，每个交易日日终在扣除股指期货、国债期货和股票期权合约需缴纳的交易保证金后，本基金保留的现金或投资于到期日在一年以内的政府债券的比例合计不低于基金资产净值的5%，封闭期内，本基金持有现金或者到期日在一年以内的政府债券占基金资产净值的比例不受上述限制，但每个交易日日终在扣除股指期货、国债期货和股票期权合约需缴纳的交易保证金后，应当保持不低于交易保证金一倍的现金，其中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资产配置策略、战略配售策略、个股精选策略、债券投资策略、可转债及可交换债投资策略、资产支持证券投资策略、股指期货投资策略、股票期权投资策略、融资及转融通证券出借业务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上证科创板50成份指数收益率*70%+中债综合财富指数收益率*20%+恒生指数收益率(使用估值汇率折算)*10%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314833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1407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场外份额，通过直销中心申购本基金的特定投资群体认购费率适用该费率。</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本基金的场内申购费率参照场外申购费率执行。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本基金的场内赎回费率参照场外赎回费率执行。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基金上市费及年费、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其他风险。其中特有风险包括：1、作为上市基金存在的风险。2、股指期货投资风险。3、股票期权投资风险。4、国债期货投资风险。5、参与融资交易风险。6、参与转融通证券出借业务的风险。7、投资港股通标的股票的风险。8、投资科创板股票的风险。9、战略配售股票投资的风险。10、存托凭证投资风险。11、资产支持证券投资风险。12、流通受限证券投资风险。13、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