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汇添富品牌驱动六个月持有期混合型证券投资基金更新基金产品资料概要(2024年06月07日更新)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汇添富品牌驱动六个月持有混合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010298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中国民生银行股份有限公司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2020年10月19日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最短持有期六个月</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郑慧莲</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2020年10月19日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六个月的最短持有期，在最短持有期内基金份额持有人不能提出赎回申请，最短持有期届满后方可提出赎回申请。以红利再投资方式取得的基金份额的持有到期时间与投资者原持有的基金份额最短持有期到期时间一致，因多笔认购、申购导致原持有基金份额最短持有期不一致的，分别计算。</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本基金主要投资于品牌驱动主题上市公司，在严格控制组合风险并保持良好流动性的前提下，基于深入的企业基本面分析，精选个股，力争实现基金资产的长期稳定增值。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资产支持证券、债券回购、同业存单、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投资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品牌驱动主题资产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与品牌驱动相关的优质上市公司。本基金的投资策略还包括：债券投资策略、可转债及可交换债投资策略、资产支持证券投资策略、股指期货投资策略、股票期权投资策略、融资投资策略、国债期货投资策略、存托凭证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中证品牌消费100策略指数收益率*40%+沪深300指数收益率*20%+恒生指数收益率（使用估值汇率折算）*20%+中债综合指数收益率*20%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还可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3115889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29949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通过直销中心申购本基金的特定投资群体申购费率为每笔500元。</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本基金不收取赎回费用。</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本基金法律文件风险收益特征表述与销售机构基金风险评价可能不一致的风险、启用侧袋机制的风险及其他风险等。其中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（1）股指期货投资风险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（2）股票期权投资风险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（3）国债期货投资风险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（4）参与融资交易风险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（5）本基金可以投资港股通标的股票，投资风险包括：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（6）资产支持证券投资风险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（7）流通受限证券投资风险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以上所述因素可能会给本基金投资带来特殊交易风险。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