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汇添富内需增长股票型证券投资基金A类份额更新基金产品资料概要(2024年06月07日更新)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汇添富内需增长股票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007523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汇添富内需增长股票A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007523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中国农业银行股份有限公司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2019年07月31日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2019年07月31日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在科学严格管理风险的前提下，重点投资于内需增长主题相关的优质上市公司，谋求基金资产的中长期稳健增值。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括协议存款、定期存款及其他银行存款)、货币市场工具、权证、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基金的投资组合比例为：本基金投资于股票资产及存托凭证占基金资产的比例不低于80%(其中投资于港股通标的股票的比例不超过股票资产的 50%)；基金持有全部权证的市值不得超过基金资产净值的 3%；每个交易日日终在扣除股指期货、国债期货和股票期权合约需缴纳的交易保证金以后，基金保留的现金或投资于到期日在一年以内的政府债券的比例合计不低于基金资产净值的 5%，本基金所指的现金不包括结算备付金、存出保证金、应收申购款等。本基金投资于内需增长主题相关上市公司股票资产及存托凭证占非现金基金资产的比例不低于 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个股精选策略。其中，资产配置策略用于确定大类资产配置比例以有效规避系统性风险；个股精选策略主要用于挖掘优质的内需增长相关上市公司。本基金的投资策略还包括：债券投资策略、资产支持证券投资策略、股指期货投资策略、股票期权投资策略、权证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中证主要消费指数收益率*40%+中证医疗指数收益率*30%+中证养老产业指数收益率*15%+中债综合指数收益率*15%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其预期风险收益水平高于混合型基金、债券型基金及货币市场基金。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189588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3788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《基金合同》生效后与基金相关的律师费/诉讼费/仲裁费、基金份额持有人大会费用、证券/期货交易费用、银行汇划费用、开户费用、账户维护费用、因投资港股通标的股票而产生的各项合理费用等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面临的风险包括：市场风险、管理风险、流动性风险、特有风险、操作或技术风险、合规性风险及其他风险。其中，特有风险包括：（1）股指期货投资风险、（2）股票期权投资风险、（3）国债期货投资风险、（4）参与融资交易风险、（5）本基金可以投资港股通标的股票的风险、（6）资产支持证券投资风险、（7）流通受限证券投资风险、（8）基金资产投资于科创板股票的风险、（9）存托凭证投资风险、（10）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