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汇添富内需增长股票型证券投资基金C类份额更新基金产品资料概要(2024年06月07日更新)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汇添富内需增长股票</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007523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汇添富内需增长股票C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007524</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中国农业银行股份有限公司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2019年07月31日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郑慧莲</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2019年07月31日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在科学严格管理风险的前提下，重点投资于内需增长主题相关的优质上市公司，谋求基金资产的中长期稳健增值。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中小板、创业板及其他经中国证监会核准上市的股票)、存托凭证、港股通标的股票、债券(包括国债、央行票据、金融债券、企业债券、公司债券、中期票据、短期融资券、超短期融资券、次级债券、政府支持债券、政府支持机构债券、地方政府债券、可交换债券、可转换债券(含分离交易可转债)及其他经中国证监会允许投资的债券)、资产支持证券、债券回购、同业存单、银行存款(包括协议存款、定期存款及其他银行存款)、货币市场工具、权证、股指期货、股票期权、国债期货以及法律法规或中国证监会允许基金投资的其他金融工具(但须符合中国证监会相关规定)。本基金还可根据法律法规参与融资。如法律法规或监管机构以后允许基金投资其他品种，基金管理人在履行适当程序后，可以将其纳入投资范围。基金的投资组合比例为：本基金投资于股票资产及存托凭证占基金资产的比例不低于80%(其中投资于港股通标的股票的比例不超过股票资产的 50%)；基金持有全部权证的市值不得超过基金资产净值的 3%；每个交易日日终在扣除股指期货、国债期货和股票期权合约需缴纳的交易保证金以后，基金保留的现金或投资于到期日在一年以内的政府债券的比例合计不低于基金资产净值的 5%，本基金所指的现金不包括结算备付金、存出保证金、应收申购款等。本基金投资于内需增长主题相关上市公司股票资产及存托凭证占非现金基金资产的比例不低于 80%。</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基金。投资策略主要包括资产配置策略和个股精选策略。其中，资产配置策略用于确定大类资产配置比例以有效规避系统性风险；个股精选策略主要用于挖掘优质的内需增长相关上市公司。本基金的投资策略还包括：债券投资策略、资产支持证券投资策略、股指期货投资策略、股票期权投资策略、权证投资策略、融资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中证主要消费指数收益率*40%+中证医疗指数收益率*30%+中证养老产业指数收益率*15%+中债综合指数收益率*15%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基金，其预期风险收益水平高于混合型基金、债券型基金及货币市场基金。本基金将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7926638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82749"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0.6%</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《基金合同》生效后与基金相关的律师费/诉讼费/仲裁费、基金份额持有人大会费用、证券/期货交易费用、银行汇划费用、开户费用、账户维护费用、因投资港股通标的股票而产生的各项合理费用等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2.05%</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面临的风险包括：市场风险、管理风险、流动性风险、特有风险、操作或技术风险、合规性风险及其他风险。其中，特有风险包括：（1）股指期货投资风险、（2）股票期权投资风险、（3）国债期货投资风险、（4）参与融资交易风险、（5）本基金可以投资港股通标的股票的风险、（6）资产支持证券投资风险、（7）流通受限证券投资风险、（8）基金资产投资于科创板股票的风险、（9）存托凭证投资风险、（10）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本基金的争议解决处理方式为仲裁。具体仲裁机构和仲裁地点详见本基金合同的具体约定。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