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汇添富蓝筹稳健灵活配置混合型证券投资基金A类份额更新基金产品资料概要(2024年06月07日更新)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汇添富蓝筹稳健混合</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519066</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汇添富蓝筹稳健混合A</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519066</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中国工商银行股份有限公司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2008年07月08日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混合型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普通开放式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每个开放日</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郑乐凯</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2024年03月11日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2014年07月15日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本基金A类份额场内简称为添富蓝筹。</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通过投资于价值相对低估的蓝筹公司股票，追求基金资产的长期增值。</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为具有良好流动性的金融工具，包括国内依法发行上市的股票、存托凭证、债券、权证、资产支持证券以及经中国证监会批准的允许基金投资的其他金融工具。如法律法规或监管机构以后允许基金投资其他品种，本基金管理人在履行适当程序后，可以将其纳入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股票及存托凭证投资占基金资产的比例为30-80%，债券及资产支持证券投资占基金资产的比例为0-60%，权证投资占基金资产净值的比例为0-3%，现金和到期日在1年以内的政府债券的投资比例不低于基金资产净值的5%，本基金所指的现金不包括结算备付金、存出保证金、应收申购款等。</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股票及存托凭证投资对象为蓝筹公司，蓝筹公司是指凭借优秀的管理能力和高品质的产品或服务，在长期持续的经营中建立了良好的品牌和信誉，从而在行业内具有领先地位的大市值公司。本基金股票资产及存托凭证全部投资于蓝筹公司。</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今后在有关法律法规许可时，本基金资产配置比例可作相应调整，股票资产及存托凭证投资比例可达到法律法规有关规定的限额。</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采用灵活积极的资产配置和股票投资策略。在资产配置中，通过以宏观经济及宏观经济政策分析为核心的情景分析法来确定投资组合中股票及存托凭证、债券和现金类资产等的投资范围和比例，并结合对市场估值、市场资金、投资主体行为和市场信心影响等因素的综合判断进行灵活调整；在股票投资中，采取“自下而上”的策略，优选价值相对低估的蓝筹公司股票构建投资组合，并辅以严格的投资组合风险控制，以获得长期持续稳健的投资收益。本基金投资策略的重点是资产配置和精选股票策略。此外，本基金的投资策略还包括：债券投资策略、权证投资策略。</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沪深300指数收益率*60%+上证国债指数收益率*40%</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本基金为灵活配置混合型基金,属于证券投资基金中较高风险较高收益的品种。</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最近十年基金每年的净值增长率及与同期业绩比较基准的比较图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46102561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6636858" name=""/>
                    <pic:cNvPicPr>
                      <a:picLocks noChangeAspect="1"/>
                    </pic:cNvPicPr>
                  </pic:nvPicPr>
                  <pic:blipFill>
                    <a:blip xmlns:r="http://schemas.openxmlformats.org/officeDocument/2006/relationships" r:embed="rId5"/>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申购费（前收费）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0万元≤M&lt;100万元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100万元≤M&lt;200万元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200万元≤M&lt;500万元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0.30%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M≥500万元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1000元/笔</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申购费（后收费）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0年≤N&lt;1年</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1.80%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1年≤N&lt;2年</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2年≤N&lt;3年</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1.20%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3年≤N&lt;4年</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0.80%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4年≤N&lt;5年</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0.60%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N≥5年</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赎回费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0天≤N&lt;7天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7天≤N&lt;365天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1年≤N&lt;2年</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0.25%</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N≥2年</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1.2%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81000.00元/年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120000.00元/年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《基金合同》生效后与基金相关的律师费、基金份额持有人大会费用、证券交易费用、银行汇划费用等</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1.40%</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本基金的风险包括：市场风险、管理风险、流动性风险、特有风险、操作或技术风险、合规性风险、本基金法律文件风险收益特征表述与销售机构基金风险评价可能不一致的风险、其他风险。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其中特有风险指如下几点：本基金为灵活配置混合型基金，资产配置比例可灵活调整，股票投资及存托凭证比例在30~80%之间变动。在灵活调整资产配置时，基金经理的判断可能与市场的实际表现有一定偏离，在市场上涨的时候股票配置比例过低或在市场下跌时股票配置比例过高，从而带来对基金收益不利影响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基金资产投资于科创板股票，会面临科创板机制下因投资标的、市场制度以及交易规则等差异带来的特有风险，包括但不限于市场风险、流动性风险、科创板企业退市风险、政策风险等。基金可根据投资策略需要或市场环境的变化，选择将部分基金资产投资于科创板股票或选择不将基金资产投资于科创板股票，基金资产并非必然投资于科创板股票。</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可投资存托凭证，除普通股票投资可能面临的宏观经济风险、政策风险、市场风险、流动性风险外，投资存托凭证可能还会面临以下风险：1、存托凭证持有人与持有基础股票的股东在法律地位享有权利等方面存在差异可能引发的风险；2、发行人采用协议控制架构的风险；3、增发基础证券可能导致的存托凭证持有人权益被摊薄的风险；4、交易机制相关风险；5、存托凭证退市风险；6、其它风险。</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本基金还可能面临启用侧袋机制的风险。</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中国证监会对本基金募集的核准，并不表明其对本基金的价值和收益作出实质性判断或保证，也不表明投资于本基金没有风险。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本基金的争议解决处理方式为仲裁。具体仲裁机构和仲裁地点详见基金合同的具体约定。</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 xml:space="preserve">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 </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