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汇添富彭博中国政策性银行债券1-3年指数证券投资基金C类份额更新基金产品资料概要(2024年06月07日更新)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汇添富彭博政金债1-3年</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012128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汇添富彭博政金债1-3年C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何旻</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1998年07月01日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本基金主要投资于标的指数成份券及备选成份券。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为更好地实现基金的投资目标，本基金还可以投资于具有良好流动性的金融工具，包括国内依法发行上市的政策性金融债、债券回购以及银行存款。本基金不投资于除政策性金融债以外的债券资产。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基金的投资组合比例为：本基金投资于债券资产的比例不低于基金资产的80%；其中投资于标的指数成份券和备选成份券的比例不低于本基金非现金基金资产的 80%；本基金持有现金或者到期日在一年以内的政府债券的比例合计不低于基金资产净值的 5%，其中现金不包括结算备付金、存出保证金、应收申购款等。本基金的标的指数为彭博中国政策性银行债券1-3年指数（Bloomberg China Policy Bank 1-3 Year Index）及其未来可能发生的变更。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本基金为指数基金，采用优化抽样复制法。</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通过对标的指数中各成份债券的历史数据和流动性分析，选取流动性较好的债券构建组合，对标的指数的久期等指标进行跟踪，达到复制标的指数、降低交易成本的目的。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正常市场情况下，本基金的风险控制目标是追求日均跟踪偏离度的绝对值不超过0.35%，年化跟踪误差不超过4%。如因标的指数编制规则调整等其他原因，导致基金跟踪偏离度和跟踪误差超过了上述范围，基金管理人应采取合理措施，避免跟踪偏离度和跟踪误差的进一步扩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券发生明显负面事件面临违约，且指数编制机构暂未作出调整的，基金管理人应当按照基金份额持有人利益优先的原则，履行内部决策程序后及时对相关成份券进行调整。本基金的投资策略主要包括优化抽样复制策略和替代性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彭博中国政策性银行债券1-3年指数收益率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收益及风险水平低于股票型基金、混合型基金，高于货币市场基金。本基金采用优化抽样复制策略，跟踪彭博中国政策性银行债券1-3年指数，其风险收益特征与标的指数所表征的市场组合的风险收益特征相似。</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5260186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70154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《基金合同》生效后与基金相关的律师费/诉讼费/仲裁费、基金份额持有人大会费用、证券等交易费用、银行汇划费用、账户开户费用、账户维护费用等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1、标的指数波动的风险；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4、投资政策性金融债的风险。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