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汇添富纳斯达克100交易型开放式指数证券投资基金发起式联接基金（QDII）人民币C类份额更新基金产品资料概要(2024年06月07日更新)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汇添富纳斯达克100ETF发起式联接（QDII）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018966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汇添富纳斯达克100ETF发起式联接（QDII）人民币C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018967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道富银行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过蓓蓓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2011年12月19日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但基金合同另有约定的除外。</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资产净值（美元份额所对应的基金资产净值需按计算日中国人民银行公布的人民币对美元汇率中间价折算为人民币）低于2亿元人民币的，基金合同自动终止，且不得通过召开基金份额持有人大会延续基金合同期限。</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通过投资于目标ETF，紧密跟踪标的指数表现，追求跟踪偏离度和跟踪误差的最小化。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本基金的标的指数为纳斯达克100指数及其未来可能发生的变更。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本基金主要投资于目标ETF、标的指数成份股和备选成份股。此外，本基金还可投资于以下金融产品或工具：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包括港股通机制下允许买卖的规定范围内的香港联合交易所上市的股票）、优先股、全球存托凭证、美国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本基金为对冲外币的汇率风险，可以投资于境外外汇远期合约、结构性外汇远期合约、外汇期权及外汇期权组合、外汇互换协议、与汇率挂钩的结构性投资产品等金融工具。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主板、创业板、其他依法上市的股票、存托凭证），股指期货、国债期货、股票期权、债券（国债、央行票据、金融债券、企业债券、公司债券、中期票据、短期融资券（含超短期融资券）、次级债券、政府机构债券、地方政府债券、可交换债券、可转换债券（含分离交易可转债）及其他经中国证监会允许投资的债券）、资产支持证券、债券回购、银行存款（包括协议存款、定期存款及其他银行存款等）、同业存单、货币市场工具等资产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目标ETF的比例不低于基金资产净值的90%，每个交易日日终在扣除境内金融衍生品合约需缴纳的交易保证金后，现金或到期日在一年以内的政府债券的投资比例合计不低于基金资产净值的5%，其中现金不包括结算备付金、存出保证金和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为实现投资目标，本基金将以不低于基金资产净值90%的资产投资于目标ETF。在正常市场情况下，本基金力争净值增长率与业绩比较基准之间的日均跟踪偏离度的绝对值不超过0.35%，年跟踪误差不超过4%。本基金的投资策略主要包括：资产配置策略；目标ETF的投资策略；成份股、备选成份股投资策略；金融衍生品投资策略；资产支持证券投资策略；境内融资投资策略；参与境内转融通证券出借业务策略；境内外存托凭证的投资策略及汇率避险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经人民币汇率调整的纳斯达克100指数收益率*95%+商业银行活期存款利率（税后）*5%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本基金为汇添富纳斯达克100ETF的联接基金，其预期的风险与收益高于混合型基金、债券型基金与货币市场基金。本基金通过投资目标ETF，紧密跟踪标的指数，具有与标的指数相似的风险收益特征。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本基金可投资于境外证券市场，除了需要承担与境内证券投资基金类似的市场波动风险等一般投资风险之外，本基金还将面临汇率风险、境外证券市场风险等特殊投资风险。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本基金人民币C类份额不收取申购费。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1、《基金合同》生效后与基金相关的律师费、仲裁费和诉讼费；基金份额持有人大会费用；基金的证券、期货等交易结算费用及在境外市场的交易、清算、登记等实际发生的费用（out-of-pocket fees）；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基金依照有关法律法规应当缴纳的，购买或处置证券有关的任何税收、征费、关税、印花税及预扣提税（以及与前述各项有关的任何利息及费用）；因港股通投资而产生的各项合理费用；按照国家有关规定和《基金合同》约定，可以在基金财产中列支的其他费用。2、本基金的管理费以前一日基金资产净值扣除所持有目标ETF份额所对应的资产净值后余额（若为负数，则取0）为基础计提。3、本基金的托管费以前一日基金资产净值扣除所持有目标ETF份额所对应的资产净值后余额（若为负数，则取0）为基础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1.06%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技术或会计核算风险、法律风险、交易结算风险、合规性风险、本基金法律文件风险收益特征表述与销售机构基金风险评价可能不一致的风险、税负增加风险及其他风险。其中特有风险包括：1、联接基金风险；2、基金投资资产支持证券的风险；3、金融衍生品投资风险；4、基金参与境内融资与转融通证券出借业务的风险；5、税务风险；6、正回购/逆回购风险；7、证券借贷风险；8、大宗交易风险；9、投资境外市场股票的风险；10、存托凭证投资风险；11、作为发起式基金存在的风险；12、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