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汇添富蓝筹稳健灵活配置混合型证券投资基金E类份额更新基金产品资料概要(2024年06月07日更新)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汇添富蓝筹稳健混合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519066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汇添富蓝筹稳健混合E</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013516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2008年07月08日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郑乐凯</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2024年03月11日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2014年07月15日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自2021年9月3日起增设汇添富蓝筹稳健灵活配置混合型证券投资基金E类份额。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通过投资于价值相对低估的蓝筹公司股票，追求基金资产的长期增值。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具有良好流动性的金融工具，包括国内依法发行上市的股票、存托凭证、债券、权证、资产支持证券以及经中国证监会批准的允许基金投资的其他金融工具。如法律法规或监管机构以后允许基金投资其他品种，本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股票及存托凭证投资占基金资产的比例为30-80%，债券及资产支持证券投资占基金资产的比例为0-60%，权证投资占基金资产净值的比例为0-3%，现金和到期日在1年以内的政府债券的投资比例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股票及存托凭证投资对象为蓝筹公司，蓝筹公司是指凭借优秀的管理能力和高品质的产品或服务，在长期持续的经营中建立了良好的品牌和信誉，从而在行业内具有领先地位的大市值公司。本基金股票资产及存托凭证全部投资于蓝筹公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今后在有关法律法规许可时，本基金资产配置比例可作相应调整，股票资产及存托凭证投资比例可达到法律法规有关规定的限额。</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灵活积极的资产配置和股票投资策略。在资产配置中，通过以宏观经济及宏观经济政策分析为核心的情景分析法来确定投资组合中股票及存托凭证、债券和现金类资产等的投资范围和比例，并结合对市场估值、市场资金、投资主体行为和市场信心影响等因素的综合判断进行灵活调整；在股票投资中，采取“自下而上”的策略，优选价值相对低估的蓝筹公司股票构建投资组合，并辅以严格的投资组合风险控制，以获得长期持续稳健的投资收益。本基金投资策略的重点是资产配置和精选股票策略。此外，本基金的投资策略还包括：债券投资策略、权证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沪深300指数收益率*60%+上证国债指数收益率*40%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本基金为灵活配置混合型基金,属于证券投资基金中较高风险较高收益的品种。</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26148558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2288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本基金E类份额不收取申购费。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81000.00元/年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《基金合同》生效后与基金相关的律师费、基金份额持有人大会费用、证券交易费用、银行汇划费用等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1.80%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其中特有风险指如下几点：本基金为灵活配置混合型基金，资产配置比例可灵活调整，股票投资及存托凭证比例在30~80%之间变动。在灵活调整资产配置时，基金经理的判断可能与市场的实际表现有一定偏离，在市场上涨的时候股票配置比例过低或在市场下跌时股票配置比例过高，从而带来对基金收益不利影响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基金资产投资于科创板股票，会面临科创板机制下因投资标的、市场制度以及交易规则等差异带来的特有风险，包括但不限于市场风险、流动性风险、科创板企业退市风险、政策风险等。基金可根据投资策略需要或市场环境的变化，选择将部分基金资产投资于科创板股票或选择不将基金资产投资于科创板股票，基金资产并非必然投资于科创板股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中国证监会对本基金募集的核准，并不表明其对本基金的价值和收益作出实质性判断或保证，也不表明投资于本基金没有风险。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