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汇添富纳斯达克100交易型开放式指数证券投资基金发起式联接基金（QDII）美元现钞份额更新基金产品资料概要(2024年06月07日更新)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汇添富纳斯达克100ETF发起式联接（QDII）</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018966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汇添富纳斯达克100ETF发起式联接（QDII）美元现钞</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018969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境外投资顾问</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道富银行</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2023年08月02日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美元</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过蓓蓓</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2023年08月02日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2011年12月19日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但基金合同另有约定的除外。</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满三年之日（指自然日），若基金资产净值（美元份额所对应的基金资产净值需按计算日中国人民银行公布的人民币对美元汇率中间价折算为人民币）低于2亿元人民币的，基金合同自动终止，且不得通过召开基金份额持有人大会延续基金合同期限。</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通过投资于目标ETF，紧密跟踪标的指数表现，追求跟踪偏离度和跟踪误差的最小化。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本基金的标的指数为纳斯达克100指数及其未来可能发生的变更。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本基金主要投资于目标ETF、标的指数成份股和备选成份股。此外，本基金还可投资于以下金融产品或工具：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外投资，本基金可投资于银行存款、可转让存单、银行承兑汇票、银行票据、商业票据、回购协议、短期政府债券等货币市场工具；政府债券、公司债券、可转换债券、住房按揭支持证券、资产支持证券等及经中国证监会认可的国际金融组织发行的证券；已与中国证监会签署双边监管合作谅解备忘录的国家或地区证券市场挂牌交易的普通股（包括港股通机制下允许买卖的规定范围内的香港联合交易所上市的股票）、优先股、全球存托凭证、美国存托凭证、房地产信托凭证；在已与中国证监会签署双边监管合作谅解备忘录的国家或地区证券监管机构登记注册的公募基金；与固定收益、股权、信用、商品指数、基金等标的物挂钩的结构性投资产品；远期合约、互换及经中国证监会认可的境外交易所上市交易的权证、期权、期货等金融衍生产品以及法律法规或中国证监会允许基金投资的其他金融工具（但须符合中国证监会相关规定）。本基金可以进行境外证券借贷交易、境外正回购交易、逆回购交易。有关证券借贷交易的内容以专门签署的三方或多方协议约定为准。</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本基金为对冲外币的汇率风险，可以投资于境外外汇远期合约、结构性外汇远期合约、外汇期权及外汇期权组合、外汇互换协议、与汇率挂钩的结构性投资产品等金融工具。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内投资，本基金可投资于国内依法发行上市的股票、债券等金融工具，具体包括：股票（包含主板、创业板、其他依法上市的股票、存托凭证），股指期货、国债期货、股票期权、债券（国债、央行票据、金融债券、企业债券、公司债券、中期票据、短期融资券（含超短期融资券）、次级债券、政府机构债券、地方政府债券、可交换债券、可转换债券（含分离交易可转债）及其他经中国证监会允许投资的债券）、资产支持证券、债券回购、银行存款（包括协议存款、定期存款及其他银行存款等）、同业存单、货币市场工具等资产以及法律法规或中国证监会允许基金投资的其他金融工具（但须符合中国证监会相关规定）。本基金将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目标ETF的比例不低于基金资产净值的90%，每个交易日日终在扣除境内金融衍生品合约需缴纳的交易保证金后，现金或到期日在一年以内的政府债券的投资比例合计不低于基金资产净值的5%，其中现金不包括结算备付金、存出保证金和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目标ETF，方便特定的客户群通过本基金投资目标ETF。本基金不参与目标ETF的投资管理。为实现投资目标，本基金将以不低于基金资产净值90%的资产投资于目标ETF。在正常市场情况下，本基金力争净值增长率与业绩比较基准之间的日均跟踪偏离度的绝对值不超过0.35%，年跟踪误差不超过4%。本基金的投资策略主要包括：资产配置策略；目标ETF的投资策略；成份股、备选成份股投资策略；金融衍生品投资策略；资产支持证券投资策略；境内融资投资策略；参与境内转融通证券出借业务策略；境内外存托凭证的投资策略及汇率避险策略等。</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经人民币汇率调整的纳斯达克100指数收益率*95%+商业银行活期存款利率（税后）*5%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本基金为汇添富纳斯达克100ETF的联接基金，其预期的风险与收益高于混合型基金、债券型基金与货币市场基金。本基金通过投资目标ETF，紧密跟踪标的指数，具有与标的指数相似的风险收益特征。</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本基金可投资于境外证券市场，除了需要承担与境内证券投资基金类似的市场波动风险等一般投资风险之外，本基金还将面临汇率风险、境外证券市场风险等特殊投资风险。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投资组合资产配置图表和区域配置图表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M&lt;10万元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非特定投资群体；单位为美元</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10万元≤M&lt;20万元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非特定投资群体；单位为美元</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M≥20万元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200美元/笔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非特定投资群体；单位为美元</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美元基金份额的特定投资群体申购费用为每笔100美元；未通过本公司直销中心申购本基金美元基金份额的特定投资群体，申购费率参照其他投资者适用的美元基金份额的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1、《基金合同》生效后与基金相关的律师费、仲裁费和诉讼费；基金份额持有人大会费用；基金的证券、期货等交易结算费用及在境外市场的交易、清算、登记等实际发生的费用（out-of-pocket fees）；基金的银行汇划费用和外汇兑换交易的相关费用；基金的开户费用、账户维护费用；为应付赎回和交易清算而进行临时借款所发生的费用；除去基金管理人和基金托管人因自身原因而导致的更换基金管理人、更换基金托管人及基金资产由原任基金托管人转移至新任基金托管人以及由于境外托管人更换导致基金资产转移所引起的费用；基金依照有关法律法规应当缴纳的，购买或处置证券有关的任何税收、征费、关税、印花税及预扣提税（以及与前述各项有关的任何利息及费用）；因港股通投资而产生的各项合理费用；按照国家有关规定和《基金合同》约定，可以在基金财产中列支的其他费用。2、本基金的管理费以前一日基金资产净值扣除所持有目标ETF份额所对应的资产净值后余额（若为负数，则取0）为基础计提。3、本基金的托管费以前一日基金资产净值扣除所持有目标ETF份额所对应的资产净值后余额（若为负数，则取0）为基础计提。</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0.66%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基金财产中投资于目标ETF的部分不收取管理费和托管费，故本基金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管理风险、流动性风险、特有风险、操作、技术或会计核算风险、法律风险、交易结算风险、合规性风险、本基金法律文件风险收益特征表述与销售机构基金风险评价可能不一致的风险、税负增加风险及其他风险。其中特有风险包括：1、联接基金风险；2、基金投资资产支持证券的风险；3、金融衍生品投资风险；4、基金参与境内融资与转融通证券出借业务的风险；5、税务风险；6、正回购/逆回购风险；7、证券借贷风险；8、大宗交易风险；9、投资境外市场股票的风险；10、存托凭证投资风险；11、作为发起式基金存在的风险；12、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