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汇添富年年利定期开放债券型证券投资基金C类份额更新基金产品资料概要(2024年06月07日更新)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汇添富年年利定期开放债券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000221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汇添富年年利定期开放债券C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000222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2013年09月06日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本基金以1年为一个运作周期，在每个运作周期结束后进入自由开放期。本基金的受限开放期为该运作周期首日次6个月的月度对日。本基金的每个受限开放期为1个工作日。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2012年12月03日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在追求本金安全的基础上，本基金力争创造超越业绩比较基准的长期稳健收益。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固定收益类金融工具，包括国债、金融债、央行票据、公司债、企业债、地方政府债、可转换债券、可分离债券、短期融资券、中期票据、私募债券、资产支持证券、债券回购、银行存款(包括定期存款及协议存款)，以及法律法规或中国证监会允许投资的其他固定收益类品种。本基金不直接从二级市场上买入股票和权证，也不参与一级市场新股申购。因持有可转换债券转股所得的股票、因所持股票派发的权证以及因投资可分离债券而产生的权证，应当在其可上市交易后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在每个受限开放期的前10个工作日和后10个工作日、自由开放期的前3个月和后3个月以及开放期期间不受前述投资组合比例的限制。本基金在封闭期内持有现金或者到期日在一年以内的政府债券占基金资产净值的比例不受限制，但在开放期持有的现金或到期日在一年以内的政府债券不低于基金资产净值的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可转债投资策略等。在谨慎投资的基础上，力争实现组合的稳健增值。本基金的投资策略还包括：普通债券投资策略、私募债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银行一年期定期存款利率(税后)+1.2%</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本基金为债券型基金，属于证券投资基金中较低预期风险、较低预期收益的品种，其预期风险及预期收益水平高于货币市场基金，低于混合型基金及股票型基金。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07193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4016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自由开放期</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自由开放期</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本基金C类份额受限开放期赎回费率为0.1%</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63000.00元/年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0.82%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本基金面临的风险包括：市场风险、管理风险、流动性风险、特有风险、操作或技术风险、合规性风险、其他风险、启用侧袋机制的风险。其中，特有风险包括：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2、中小企业私募债投资风险。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4、启用侧袋机制的风险。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