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汇添富均衡增长三个月持有期混合型基金中基金（FOF）C类份额更新基金产品资料概要(2024年06月07日更新)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汇添富均衡增长三个月持有混合（FOF）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014070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汇添富均衡增长三个月持有混合（FOF）C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014071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北京银行股份有限公司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基金中基金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最短持有三个月</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李彪</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2007年06月01日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本基金进行积极主动的长期资产配置，通过精选不同资产类别中的优质基金，构建风险与收益相匹配的投资组合，在控制投资风险并保持良好流动性的前提下，追求基金资产的长期增值。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主要为经中国证监会依法核准或注册的公开募集证券投资基金（以下简称“证券投资基金”，包含公开募集基础设施证券投资基金（简称公募REITs）、QDII基金、香港互认基金和商品基金（含商品期货基金和黄金ETF）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本基金还可投资于股票（包含主板、创业板及其他中国证监会允许上市的股票、存托凭证）、港股通标的股票、债券（包含国债、金融债、地方政府债、政府机构债券、企业债、公司债、次级债、可转换债券（含分离交易可转债）、可交换债券、央行票据、中期票据、短期融资券（含超短期融资券）及其他经中国证监会允许投资的债券）、资产支持证券、债券回购、银行存款、同业存单、货币市场工具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为混合型基金中基金（FOF），投资于证券投资基金的比例不低于基金资产的80%。其中本基金投资于权益类资产（股票、股票型基金、偏股混合型基金）的战略配置目标比例中枢为60%，投资比例范围为基金资产的40%-90%，投资于港股通标的股票的比例不超过股票资产的50%，投资于货币市场基金的比例不高于基金资产的15%，持有现金或到期日在一年以内的政府债券的投资比例合计不低于基金资产净值的5%。本基金所指的现金范围不包括结算备付金、存出保证金、应收申购款等资金类别，法律法规另有规定的从其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所指偏股混合型证券投资基金包含以下两类：第一类是在基金合同中约定投资于股票资产（含存托凭证）占基金资产的比例在60%以上的混合型证券投资基金；第二类是过去最近4个季度定期报告中披露的股票资产（含存托凭证）占基金资产的比例均在60%以上的混合型证券投资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积极主动的投资风格，在严格控制投资组合下行风险的前提下确定大类资产配置比例，并通过全方位的定量和定性分析方法，精选出基金管理人旗下的优质基金构建投资组合，以适度稳定的资产配置策略有效综合基金管理人主动投资管理能力，实现基金资产的长期、持续、稳定增值。本基金主要投资策略有：资产配置策略、基金投资策略（包括但不限于公募REITs投资策略）、股票投资策略、债券投资策略、资产支持证券投资策略、风险管理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中证800指数收益率×60% +恒生指数收益率（经汇率调整）×10%+中债综合指数收益率×30%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本基金为混合型基金中基金，其预期风险和收益水平高于债券型基金中基金和货币型基金中基金，低于股票型基金中基金。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8275374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84827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基金合同》生效后与基金相关的律师费、仲裁费和诉讼费、基金份额持有人大会费用、基金的证券等交易费用、基金的银行汇划费用、基金的开户费用、账户维护费用、基金投资其他基金产生的相关销售费用（但法律法规禁止从基金财产中列支的除外）、因投资港股通标的股票而产生的各项合理费用、按照国家有关规定和《基金合同》约定，可以在基金财产中列支的其他费用。 2、本基金管理费按前一日基金资产净值扣除所持有本基金管理人自身管理的其他基金所对应的基金资产净值后余额（若为负数，则取0）的年费率计提。 3、本基金托管费按前一日基金资产净值扣除所持有本基金托管人自身托管的其他基金所对应的基金资产净值后余额（若为负数，则取0）的年费率计提。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1.88%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对基金财产中持有的本基金管理人自身管理的基金部分不收取管理费、对基金财产中持有的本基金托管人自身托管的基金部分不收取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流动性风险、管理风险、信用风险、操作或技术风险、合规性风险、特有风险、本基金法律文件风险收益特征表述与销售机构基金风险评价可能不一致的风险及其他风险。其中，特有风险包括：（1）基金投资其他基金的风险；（2）基金投资港股通标的股票的风险；（3）基金投资资产支持证券的风险；（4）最短持有期限内不能赎回基金份额的风险；（5）基金投资存托凭证的风险；（6）公募REITs投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