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汇添富均衡配置个股精选六个月持有期混合型证券投资基金C类份额更新基金产品资料概要(2024年06月07日更新)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汇添富均衡精选六个月持有混合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011681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汇添富均衡精选六个月持有混合C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011682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中国农业银行股份有限公司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2021年09月17日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最短持有期六个月</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卞正</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2023年06月14日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2016年07月07日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于每份基金份额设置六个月的最短持有期，在最短持有期内基金份额持有人不能提出赎回申请，最短持有期届满后方可提出赎回申请。以红利再投资方式取得的基金份额的持有到期时间与投资者原持有的基金份额最短持有期到期时间一致，因多笔认购、申购导致原持有基金份额最短持有期不一致的，分别计算。</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本基金采用自下而上的投资方法，以基本面分析为立足点，在科学严格管理风险的前提下，精选优质个股，谋求基金资产的中长期稳健增值。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或注册上市的股票）、存托凭证、港股通标的股票、债券（包括国债、央行票据、金融债券、企业债券、公司债券、中期票据、短期融资券、超短期融资券、公开发行的次级债券、政府机构债券、地方政府债券、可交换债券、可转换债券（含分离交易可转债的纯债部分）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资产及存托凭证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股票市场中的优质上市公司，同时注重行业均衡和风格均衡。本基金的投资策略还包括债券投资策略、资产支持证券投资策略、可转债及可交换债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中证800指数收益率*50%+恒生指数收益率(使用估值汇率折算)*20%+中债综合指数收益率*30%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49862697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499997"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本基金C类基金份额不收取赎回费。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开户费用、账户维护费用、因投资港股通标的股票而产生的各项合理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2.03%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管理风险、流动性风险、特有风险、税负增加风险、操作或技术风险、合规性风险、本基金法律文件风险收益特征表述与销售机构基金风险评价可能不一致的风险、其他风险。其中特有风险包括：1、股指期货投资风险；2、股票期权投资风险；3、国债期货投资风险；4、参与融资交易风险；5、投资港股通标的股票的风险；6、资产支持证券投资风险；7、流通受限证券投资风险；8、本基金设置六个月最短持有期，投资者面临在最短持有期到期日前将面临不能赎回的风险；9、启用侧袋机制的风险；10、存托凭证投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